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6FA567" w14:textId="338B9204" w:rsidR="0089676D" w:rsidRDefault="00000000">
      <w:r>
        <w:t xml:space="preserve">On the evening of June 3, 2025, I am writing to formally notify the Department of Justice that, barring engagement from your office, </w:t>
      </w:r>
      <w:r w:rsidR="00831FAE">
        <w:t>I</w:t>
      </w:r>
      <w:r>
        <w:t xml:space="preserve"> intend to proceed with external oversight escalation. This decision follows a troubling sequence of procedural developments that cannot be ignored.</w:t>
      </w:r>
      <w:r>
        <w:br/>
      </w:r>
      <w:r>
        <w:br/>
        <w:t>The Department of Defense issued its Semiannual Report on June 3—coincidentally, just one day before the scheduled House hearing entitled “Safeguarding Procurement: Examining Fraud Risk Management in the Department of Defense.” Despite the report’s thematic overlap with the hearing’s subject matter, the SAR made no mention of multiple key issues central to our case. These include documented CID investigations, substantiated disclosures regarding</w:t>
      </w:r>
      <w:r w:rsidR="00831FAE">
        <w:t xml:space="preserve"> Alaska Native Corporations,</w:t>
      </w:r>
      <w:r>
        <w:t xml:space="preserve"> ANC 8(a) contracting abuses, and whistleblower referral activity</w:t>
      </w:r>
      <w:r w:rsidR="00831FAE">
        <w:t xml:space="preserve"> and gross EEO violations, Anti-Trust and No Mention of Civil Rights Violations </w:t>
      </w:r>
      <w:r>
        <w:t>—all of which remain unaddressed and absent from the official record.</w:t>
      </w:r>
      <w:r>
        <w:br/>
      </w:r>
      <w:r>
        <w:br/>
        <w:t xml:space="preserve">The omission is not merely administrative—it reflects a broader institutional pattern of excluding critical material from scrutiny. </w:t>
      </w:r>
      <w:r w:rsidR="00831FAE">
        <w:t>I have</w:t>
      </w:r>
      <w:r>
        <w:t xml:space="preserve"> prepared a formal submission package that highlights these contradictions and provides corroborating evidence of systematic suppression. This package will be transmitted to Congressional and federal oversight bodies</w:t>
      </w:r>
      <w:r w:rsidR="0009382F">
        <w:t xml:space="preserve"> and </w:t>
      </w:r>
      <w:r>
        <w:t>relevant committees in both the House and Senate—on the morning of June 5, 2025, at precisely 9:00 AM PST.</w:t>
      </w:r>
      <w:r>
        <w:br/>
      </w:r>
      <w:r>
        <w:br/>
        <w:t>Should your office be authorized and willing to open a channel for resolution discussion prior to this deadline, we remain ready to participate. However, in the absence of such outreach, we will proceed with our planned filing and allow the documentary record to speak for itself.</w:t>
      </w:r>
      <w:r>
        <w:br/>
      </w:r>
      <w:r>
        <w:br/>
        <w:t>Respectfully,</w:t>
      </w:r>
      <w:r>
        <w:br/>
      </w:r>
      <w:r w:rsidR="005772F5">
        <w:t>Sherman Shelby Startz</w:t>
      </w:r>
      <w:r>
        <w:br/>
        <w:t>Pro Se Litigant</w:t>
      </w:r>
      <w:r>
        <w:br/>
      </w:r>
      <w:r w:rsidR="005772F5">
        <w:t>907-231-9270</w:t>
      </w:r>
    </w:p>
    <w:sectPr w:rsidR="008967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095447">
    <w:abstractNumId w:val="8"/>
  </w:num>
  <w:num w:numId="2" w16cid:durableId="163711545">
    <w:abstractNumId w:val="6"/>
  </w:num>
  <w:num w:numId="3" w16cid:durableId="434640727">
    <w:abstractNumId w:val="5"/>
  </w:num>
  <w:num w:numId="4" w16cid:durableId="1863205300">
    <w:abstractNumId w:val="4"/>
  </w:num>
  <w:num w:numId="5" w16cid:durableId="1996060724">
    <w:abstractNumId w:val="7"/>
  </w:num>
  <w:num w:numId="6" w16cid:durableId="828715883">
    <w:abstractNumId w:val="3"/>
  </w:num>
  <w:num w:numId="7" w16cid:durableId="255789195">
    <w:abstractNumId w:val="2"/>
  </w:num>
  <w:num w:numId="8" w16cid:durableId="1438719380">
    <w:abstractNumId w:val="1"/>
  </w:num>
  <w:num w:numId="9" w16cid:durableId="1316447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382F"/>
    <w:rsid w:val="0015074B"/>
    <w:rsid w:val="0029639D"/>
    <w:rsid w:val="00326F90"/>
    <w:rsid w:val="003F541F"/>
    <w:rsid w:val="005772F5"/>
    <w:rsid w:val="00674093"/>
    <w:rsid w:val="0067465E"/>
    <w:rsid w:val="00831FAE"/>
    <w:rsid w:val="0089676D"/>
    <w:rsid w:val="00AA1D8D"/>
    <w:rsid w:val="00B2385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4BB979"/>
  <w14:defaultImageDpi w14:val="300"/>
  <w15:docId w15:val="{17650AFA-C97B-4646-8DCE-EEA60AA0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276</Words>
  <Characters>1515</Characters>
  <Application>Microsoft Office Word</Application>
  <DocSecurity>0</DocSecurity>
  <Lines>34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Sherman Startz</cp:lastModifiedBy>
  <cp:revision>3</cp:revision>
  <dcterms:created xsi:type="dcterms:W3CDTF">2025-06-03T22:25:00Z</dcterms:created>
  <dcterms:modified xsi:type="dcterms:W3CDTF">2025-06-03T22:25:00Z</dcterms:modified>
  <cp:category/>
</cp:coreProperties>
</file>