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r>
        <w:t>{ Heads, Tails }</w:t>
      </w:r>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of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The sample space for one spin is { 1, 2, 3, 4, 5, 6 }.</w:t>
      </w:r>
    </w:p>
    <w:p w14:paraId="22D7F70F" w14:textId="2FFDA5A0" w:rsidR="00FA6F03" w:rsidRDefault="00FA6F03" w:rsidP="008F4C71">
      <w:pPr>
        <w:rPr>
          <w:rFonts w:eastAsiaTheme="minorEastAsia"/>
        </w:rPr>
      </w:pPr>
      <w:r>
        <w:rPr>
          <w:rFonts w:eastAsiaTheme="minorEastAsia"/>
        </w:rPr>
        <w:t>With this sample space, various question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The most basic question is one like: What is the probability that the spinner will land on the number 4? This question is abbreviated as P(4).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P(not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to see how many of them are both greater than 3 and also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So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Imagine there is a game where you spin the spinner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6 all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symbol, |,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A fair coin is flipped, and a fair 6-sided die is rolled. The sample space has 12 outcomes { H1, H2, H3, H4, H5, H6, T1, T2, T3, T4, T5, T6 }.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E) An outcome with a 2 on the die given that there is a tails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die, the sample space gets reduced to {H2, T2}.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is on the coin, the sample space set gets reduced to {T1, T2, T3, T4, T5, T6}. Of the 6 possible outcomes in this reduced sample space, only one has a 2 on the die.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in the table, who are both under 14 years old and over 5 feet tall, based on </w:t>
      </w:r>
      <w:r w:rsidR="00340537">
        <w:t>information</w:t>
      </w:r>
      <w:r>
        <w:t xml:space="preserve"> in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So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5136BA7D">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the 58, which are the people who are both over 5 feet and over 14 years old, and of the 9, which are people who are over 5 feet but not over 14 years old (since they are not inside the over 14 years old circle  on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2A4FC49E">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C) Given that a randomly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So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If a fair penny and a fair dime are flipped, the sample space of possible outcomes is {HH, HT, TH, TT}.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A fair 6-sided die is rolled. The sample space is {1, 2, 3, 4, 5, 6}.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A spinner with equal size sections and with the number 1 to 8 on it is spun. The sample space is {1, 2, 3, 4, 5, 6, 7, 8}.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A fair coin is tossed, and a fair 6-sided die is rolled. The sample space of possible outcomes is {H1, H2, H3, H4, H5, H6, T1, T2, T3, T4, T5, T6}. If it is known that the die landed on a number greater than 4, what is the probability that the coin landed on heads?</w:t>
      </w:r>
      <w:r>
        <w:br/>
        <w:t>Sample Space: {H5,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56D7A7DE">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Likes the red book and also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GBB }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314FA0C6">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200 students get to choose an ice cream cone. The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50 people out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whether or not the other happens (or doesn’t happen). When events are not independent, they are </w:t>
      </w:r>
      <w:r w:rsidRPr="00275270">
        <w:rPr>
          <w:i/>
          <w:iCs/>
        </w:rPr>
        <w:t>dependent</w:t>
      </w:r>
      <w:r>
        <w:t>. It is much simpler to calculate the probability when questions that include the words “or,” “and,”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If you ask the same person, “Is your birth day next Saturday?” he or she will not likely say, “It depends,” since there isn’t anything else that will make it more likely or less likely that the person’s birthday is next Saturday. Next Saturday will be t heir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The table show some events and whether or not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What happens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but maybe if you’re at the game and cheering really hard,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As this is an opinion question, either independent or dependent is correct as long as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When a coin is flipped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spaces, {H,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These are independent events. Whether or not it trains in Boston on Friday has no impact on whether or not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whether or not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7777777" w:rsidR="00F21AF6" w:rsidRDefault="00F21AF6" w:rsidP="00CD029F">
      <w:pPr>
        <w:rPr>
          <w:rFonts w:eastAsiaTheme="minorEastAsia"/>
        </w:rPr>
      </w:pPr>
    </w:p>
    <w:p w14:paraId="0500643B" w14:textId="77777777" w:rsidR="00337FE6" w:rsidRDefault="00337FE6" w:rsidP="00CD029F"/>
    <w:p w14:paraId="0D7C1FD0" w14:textId="77777777" w:rsidR="00C146E0" w:rsidRDefault="00C146E0" w:rsidP="00CD029F"/>
    <w:p w14:paraId="641A475B" w14:textId="77777777" w:rsidR="00275270" w:rsidRPr="00D62889" w:rsidRDefault="00275270"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2C2EA2"/>
    <w:multiLevelType w:val="hybridMultilevel"/>
    <w:tmpl w:val="E294D56E"/>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045E4"/>
    <w:multiLevelType w:val="hybridMultilevel"/>
    <w:tmpl w:val="0C90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4"/>
  </w:num>
  <w:num w:numId="2" w16cid:durableId="1888952054">
    <w:abstractNumId w:val="5"/>
  </w:num>
  <w:num w:numId="3" w16cid:durableId="104160086">
    <w:abstractNumId w:val="5"/>
    <w:lvlOverride w:ilvl="0">
      <w:startOverride w:val="1"/>
    </w:lvlOverride>
  </w:num>
  <w:num w:numId="4" w16cid:durableId="2125727698">
    <w:abstractNumId w:val="2"/>
  </w:num>
  <w:num w:numId="5" w16cid:durableId="1277758649">
    <w:abstractNumId w:val="3"/>
  </w:num>
  <w:num w:numId="6" w16cid:durableId="195434524">
    <w:abstractNumId w:val="1"/>
  </w:num>
  <w:num w:numId="7" w16cid:durableId="869687102">
    <w:abstractNumId w:val="0"/>
  </w:num>
  <w:num w:numId="8" w16cid:durableId="13750847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0E48"/>
    <w:rsid w:val="00202054"/>
    <w:rsid w:val="00202320"/>
    <w:rsid w:val="002033C9"/>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F749D"/>
    <w:rsid w:val="005F7622"/>
    <w:rsid w:val="006027EA"/>
    <w:rsid w:val="00602C51"/>
    <w:rsid w:val="0060373B"/>
    <w:rsid w:val="0060763A"/>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97B52"/>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4A8A"/>
    <w:rsid w:val="00B4792A"/>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2889"/>
    <w:rsid w:val="00D63C25"/>
    <w:rsid w:val="00D6471E"/>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37E5"/>
    <w:rsid w:val="00EF6BA1"/>
    <w:rsid w:val="00F014F1"/>
    <w:rsid w:val="00F01C08"/>
    <w:rsid w:val="00F04CCD"/>
    <w:rsid w:val="00F05019"/>
    <w:rsid w:val="00F055C3"/>
    <w:rsid w:val="00F0577F"/>
    <w:rsid w:val="00F06CEF"/>
    <w:rsid w:val="00F074A4"/>
    <w:rsid w:val="00F07C34"/>
    <w:rsid w:val="00F108A6"/>
    <w:rsid w:val="00F135DB"/>
    <w:rsid w:val="00F14BB9"/>
    <w:rsid w:val="00F21AF6"/>
    <w:rsid w:val="00F22055"/>
    <w:rsid w:val="00F23560"/>
    <w:rsid w:val="00F235DD"/>
    <w:rsid w:val="00F253E6"/>
    <w:rsid w:val="00F26719"/>
    <w:rsid w:val="00F2754A"/>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96</cp:revision>
  <dcterms:created xsi:type="dcterms:W3CDTF">2025-05-14T14:25:00Z</dcterms:created>
  <dcterms:modified xsi:type="dcterms:W3CDTF">2025-05-15T14:32:00Z</dcterms:modified>
</cp:coreProperties>
</file>