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71814976" w:rsidR="00B30E3D" w:rsidRDefault="00146128" w:rsidP="000B5050">
      <w:pPr>
        <w:pStyle w:val="Heading1"/>
        <w:spacing w:before="0"/>
      </w:pPr>
      <w:r>
        <w:t>Chapter 2: Measure and Congruence</w:t>
      </w:r>
    </w:p>
    <w:p w14:paraId="1C221744" w14:textId="6793296C" w:rsidR="00595A00" w:rsidRDefault="00595A00" w:rsidP="00C73D11">
      <w:pPr>
        <w:pStyle w:val="Heading2"/>
      </w:pPr>
      <w:r>
        <w:t>Measurements of Segments and Angles</w:t>
      </w:r>
    </w:p>
    <w:p w14:paraId="575CAB8D" w14:textId="34596740" w:rsidR="00595A00" w:rsidRDefault="00017477" w:rsidP="00C45798">
      <w:pPr>
        <w:rPr>
          <w:rFonts w:ascii="Cambria Math" w:eastAsiaTheme="minorEastAsia" w:hAnsi="Cambria Math" w:cs="Cambria Math"/>
        </w:rPr>
      </w:pPr>
      <w:r>
        <w:t xml:space="preserve">We use a </w:t>
      </w:r>
      <w:r w:rsidRPr="00017477">
        <w:rPr>
          <w:i/>
          <w:iCs/>
        </w:rPr>
        <w:t>ruler</w:t>
      </w:r>
      <w:r>
        <w:t xml:space="preserve"> for measuring the length of a segment and the </w:t>
      </w:r>
      <w:r w:rsidRPr="00017477">
        <w:rPr>
          <w:i/>
          <w:iCs/>
        </w:rPr>
        <w:t>protractor</w:t>
      </w:r>
      <w:r>
        <w:t xml:space="preserve"> for measuring an angle. In our example, the measure of the angle </w:t>
      </w:r>
      <m:oMath>
        <m:r>
          <w:rPr>
            <w:rFonts w:ascii="Cambria Math" w:hAnsi="Cambria Math"/>
          </w:rPr>
          <m:t>ABC</m:t>
        </m:r>
      </m:oMath>
      <w:r>
        <w:rPr>
          <w:rFonts w:eastAsiaTheme="minorEastAsia"/>
        </w:rPr>
        <w:t xml:space="preserve"> is 60 degrees. We abbreviate this by writing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</m:t>
        </m:r>
      </m:oMath>
      <w:r>
        <w:rPr>
          <w:rFonts w:ascii="Cambria Math" w:eastAsiaTheme="minorEastAsia" w:hAnsi="Cambria Math" w:cs="Cambria Math"/>
        </w:rPr>
        <w:t xml:space="preserve">, read as “The measure of angle </w:t>
      </w:r>
      <m:oMath>
        <m:r>
          <w:rPr>
            <w:rFonts w:ascii="Cambria Math" w:eastAsiaTheme="minorEastAsia" w:hAnsi="Cambria Math" w:cs="Cambria Math"/>
          </w:rPr>
          <m:t>ABC</m:t>
        </m:r>
      </m:oMath>
      <w:r>
        <w:rPr>
          <w:rFonts w:ascii="Cambria Math" w:eastAsiaTheme="minorEastAsia" w:hAnsi="Cambria Math" w:cs="Cambria Math"/>
        </w:rPr>
        <w:t xml:space="preserve"> is 60.” It is customary to omit the degree symbol (</w:t>
      </w:r>
      <m:oMath>
        <m:r>
          <w:rPr>
            <w:rFonts w:ascii="Cambria Math" w:eastAsiaTheme="minorEastAsia" w:hAnsi="Cambria Math" w:cs="Cambria Math"/>
          </w:rPr>
          <m:t>°</m:t>
        </m:r>
      </m:oMath>
      <w:r>
        <w:rPr>
          <w:rFonts w:ascii="Cambria Math" w:eastAsiaTheme="minorEastAsia" w:hAnsi="Cambria Math" w:cs="Cambria Math"/>
        </w:rPr>
        <w:t>). Thus we never write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ABC=60°</m:t>
        </m:r>
      </m:oMath>
      <w:r>
        <w:rPr>
          <w:rFonts w:ascii="Cambria Math" w:eastAsiaTheme="minorEastAsia" w:hAnsi="Cambria Math" w:cs="Cambria Math"/>
        </w:rPr>
        <w:t xml:space="preserve"> or </w:t>
      </w:r>
      <m:oMath>
        <m:r>
          <w:rPr>
            <w:rFonts w:ascii="Cambria Math" w:eastAsiaTheme="minorEastAsia" w:hAnsi="Cambria Math" w:cs="Cambria Math"/>
          </w:rPr>
          <m:t>∡</m:t>
        </m:r>
        <m:r>
          <w:rPr>
            <w:rFonts w:ascii="Cambria Math" w:eastAsiaTheme="minorEastAsia" w:hAnsi="Cambria Math" w:cs="Cambria Math"/>
          </w:rPr>
          <m:t>ABC=60</m:t>
        </m:r>
      </m:oMath>
      <w:r w:rsidR="003779AE">
        <w:rPr>
          <w:rFonts w:ascii="Cambria Math" w:eastAsiaTheme="minorEastAsia" w:hAnsi="Cambria Math" w:cs="Cambria Math"/>
        </w:rPr>
        <w:t xml:space="preserve"> (omitting the “m”).</w:t>
      </w:r>
    </w:p>
    <w:p w14:paraId="211E2C2C" w14:textId="3BB1CB44" w:rsidR="000E5389" w:rsidRDefault="000E5389" w:rsidP="00C45798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18AEA064" wp14:editId="642DB669">
            <wp:extent cx="3200400" cy="1918970"/>
            <wp:effectExtent l="0" t="0" r="0" b="5080"/>
            <wp:docPr id="14034331" name="Picture 1" descr="Protractor, 60 Degrees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, 60 Degrees | ClipArt ET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4C2" w14:textId="3688F59F" w:rsidR="003779AE" w:rsidRDefault="000E5389" w:rsidP="000E5389">
      <w:pPr>
        <w:pStyle w:val="Heading3"/>
        <w:rPr>
          <w:rFonts w:eastAsiaTheme="minorEastAsia"/>
        </w:rPr>
      </w:pPr>
      <w:r>
        <w:rPr>
          <w:rFonts w:eastAsiaTheme="minorEastAsia"/>
        </w:rPr>
        <w:t>Classifying Angles</w:t>
      </w:r>
    </w:p>
    <w:p w14:paraId="3A2F29CB" w14:textId="788A5E73" w:rsidR="000E5389" w:rsidRDefault="000E5389" w:rsidP="000E5389">
      <w:pPr>
        <w:rPr>
          <w:rFonts w:eastAsiaTheme="minorEastAsia"/>
        </w:rPr>
      </w:pPr>
      <w:r>
        <w:t xml:space="preserve">Angles may be classified by comparing their measures to a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angle. An L-shaped angle is called a </w:t>
      </w:r>
      <w:r w:rsidRPr="00694796">
        <w:rPr>
          <w:rFonts w:eastAsiaTheme="minorEastAsia"/>
          <w:b/>
          <w:bCs/>
          <w:i/>
          <w:iCs/>
        </w:rPr>
        <w:t>right angle</w:t>
      </w:r>
      <w:r>
        <w:rPr>
          <w:rFonts w:eastAsiaTheme="minorEastAsia"/>
        </w:rPr>
        <w:t xml:space="preserve"> and its measure is exactly equal to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An angle whose measure is less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greater than </w:t>
      </w:r>
      <m:oMath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acute angle</w:t>
      </w:r>
      <w:r>
        <w:rPr>
          <w:rFonts w:eastAsiaTheme="minorEastAsia"/>
        </w:rPr>
        <w:t xml:space="preserve">. An angle whose measure is greater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les than </w:t>
      </w:r>
      <m:oMath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obtuse angle</w:t>
      </w:r>
      <w:r>
        <w:rPr>
          <w:rFonts w:eastAsiaTheme="minorEastAsia"/>
        </w:rPr>
        <w:t xml:space="preserve">. An angle that is exactly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 is called a </w:t>
      </w:r>
      <w:r w:rsidRPr="00694796">
        <w:rPr>
          <w:rFonts w:eastAsiaTheme="minorEastAsia"/>
          <w:b/>
          <w:bCs/>
        </w:rPr>
        <w:t>straight angle</w:t>
      </w:r>
      <w:r>
        <w:rPr>
          <w:rFonts w:eastAsiaTheme="minorEastAsia"/>
        </w:rPr>
        <w:t>.</w:t>
      </w:r>
    </w:p>
    <w:p w14:paraId="663D788F" w14:textId="5D67718C" w:rsidR="00694796" w:rsidRDefault="00694796" w:rsidP="000E5389">
      <w:r>
        <w:rPr>
          <w:noProof/>
        </w:rPr>
        <w:drawing>
          <wp:inline distT="0" distB="0" distL="0" distR="0" wp14:anchorId="600E227B" wp14:editId="3EE89573">
            <wp:extent cx="3200400" cy="1351280"/>
            <wp:effectExtent l="0" t="0" r="0" b="1270"/>
            <wp:docPr id="1682630796" name="Picture 2" descr="A diagram of angles and 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0796" name="Picture 2" descr="A diagram of angles and 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ED4" w14:textId="24B324C3" w:rsidR="00694796" w:rsidRDefault="000B5050" w:rsidP="000E5389">
      <w:r>
        <w:t>Note: It is customary to denote a right angle by marking a “box” in the corner of the angle as shown above.</w:t>
      </w:r>
    </w:p>
    <w:p w14:paraId="25E697EE" w14:textId="1E2DE581" w:rsidR="000B5050" w:rsidRDefault="000B5050" w:rsidP="008418BD">
      <w:pPr>
        <w:pStyle w:val="Heading2"/>
      </w:pPr>
      <w:r>
        <w:br w:type="column"/>
      </w:r>
      <w:r w:rsidR="002067E5">
        <w:t>Betweenness of Points and Rays</w:t>
      </w:r>
    </w:p>
    <w:p w14:paraId="7CF068D4" w14:textId="415C2C00" w:rsidR="00F57DB6" w:rsidRDefault="00F57DB6" w:rsidP="00F57DB6">
      <w:r>
        <w:t>Paul standing in line</w:t>
      </w:r>
      <w:r w:rsidR="00D96866">
        <w:t xml:space="preserve"> with Allan and Barbara</w:t>
      </w:r>
    </w:p>
    <w:p w14:paraId="3CAB7FFF" w14:textId="695E1C14" w:rsidR="00F57DB6" w:rsidRDefault="00F57DB6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68240C" wp14:editId="6DD1C928">
            <wp:extent cx="1655064" cy="310896"/>
            <wp:effectExtent l="0" t="0" r="2540" b="0"/>
            <wp:docPr id="1326137865" name="Picture 1" descr="A black and blue line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7865" name="Picture 1" descr="A black and blue line with a blue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583" w14:textId="6E00C877" w:rsidR="00A73914" w:rsidRDefault="00A73914" w:rsidP="00F57DB6">
      <w:r>
        <w:t>Paul not standing in line</w:t>
      </w:r>
      <w:r w:rsidR="00D96866">
        <w:t xml:space="preserve"> </w:t>
      </w:r>
      <w:r w:rsidR="00D96866">
        <w:t>with Allan and Barbara</w:t>
      </w:r>
    </w:p>
    <w:p w14:paraId="40BD7C02" w14:textId="5BFEBF74" w:rsidR="00A73914" w:rsidRDefault="00F31E5C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7039BAF" wp14:editId="241EF041">
            <wp:extent cx="1709928" cy="512064"/>
            <wp:effectExtent l="0" t="0" r="5080" b="2540"/>
            <wp:docPr id="866746200" name="Picture 1" descr="A blue dot and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200" name="Picture 1" descr="A blue dot and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C9" w14:textId="67B8F13E" w:rsidR="00D96866" w:rsidRDefault="00D96866" w:rsidP="00D96866">
      <w:pPr>
        <w:jc w:val="center"/>
      </w:pPr>
      <w:r>
        <w:t>Paul is behind both Allan and Barbara</w:t>
      </w:r>
    </w:p>
    <w:p w14:paraId="6184BDFD" w14:textId="5B9E10FF" w:rsidR="00581737" w:rsidRDefault="00581737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9FEEE69" wp14:editId="528BE4C1">
            <wp:extent cx="1984248" cy="338328"/>
            <wp:effectExtent l="0" t="0" r="0" b="5080"/>
            <wp:docPr id="1171760151" name="Picture 1" descr="A black and white photo of a long thi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0151" name="Picture 1" descr="A black and white photo of a long thin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92E" w14:textId="46FC6C6A" w:rsidR="00581737" w:rsidRDefault="00581737" w:rsidP="00C96660">
      <w:pPr>
        <w:pStyle w:val="Heading3"/>
      </w:pPr>
      <w:r>
        <w:t>Definition of Betweenness</w:t>
      </w:r>
    </w:p>
    <w:p w14:paraId="53E255DA" w14:textId="018FFD37" w:rsidR="00C96660" w:rsidRDefault="00C96660" w:rsidP="00C96660">
      <w:pPr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between points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if both of the following are met:</w:t>
      </w:r>
    </w:p>
    <w:p w14:paraId="57EF10D5" w14:textId="50D7E1A2" w:rsidR="00C96660" w:rsidRPr="00C96660" w:rsidRDefault="00C96660" w:rsidP="00C96660">
      <w:pPr>
        <w:pStyle w:val="ListParagraph"/>
        <w:numPr>
          <w:ilvl w:val="0"/>
          <w:numId w:val="23"/>
        </w:numPr>
      </w:pPr>
      <w:r>
        <w:t xml:space="preserve">Points, </w:t>
      </w:r>
      <m:oMath>
        <m:r>
          <w:rPr>
            <w:rFonts w:ascii="Cambria Math" w:hAnsi="Cambria Math"/>
          </w:rPr>
          <m:t xml:space="preserve">A, P,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are three different collinear points.</w:t>
      </w:r>
    </w:p>
    <w:p w14:paraId="45A8BC56" w14:textId="087AACFF" w:rsidR="00C96660" w:rsidRPr="005E5D1F" w:rsidRDefault="00C96660" w:rsidP="00C96660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AB=AP+PB</m:t>
        </m:r>
      </m:oMath>
    </w:p>
    <w:p w14:paraId="3416832B" w14:textId="4CAFD44F" w:rsidR="005E5D1F" w:rsidRDefault="005E5D1F" w:rsidP="005E5D1F">
      <w:r>
        <w:t>Condition 1 eliminates the Paul is not in line as a possibility, while Condition 2 eliminates the possibility of Paul is behind both Allan and Barbara.</w:t>
      </w:r>
    </w:p>
    <w:p w14:paraId="0EC5A4E8" w14:textId="016CE928" w:rsidR="00225E7C" w:rsidRDefault="00225E7C" w:rsidP="005E5D1F">
      <w:r>
        <w:t>Note: If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AOP = 40 and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 xml:space="preserve">POB = 10, then </w:t>
      </w:r>
      <w:r>
        <w:rPr>
          <w:rFonts w:ascii="Cambria Math" w:hAnsi="Cambria Math" w:cs="Cambria Math"/>
        </w:rPr>
        <w:br/>
        <w:t>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AOB = 50. This somewhat obvious relationship is given a special name: the Angle Addition Postulate.</w:t>
      </w:r>
    </w:p>
    <w:p w14:paraId="4549FE2F" w14:textId="1A6959DA" w:rsidR="00225E7C" w:rsidRDefault="00096B4D" w:rsidP="00225E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A8D2B1" wp14:editId="504A281B">
            <wp:extent cx="2066544" cy="1536192"/>
            <wp:effectExtent l="0" t="0" r="0" b="6985"/>
            <wp:docPr id="602589009" name="Picture 1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9009" name="Picture 1" descr="A diagram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4EE" w14:textId="79330706" w:rsidR="005E5D1F" w:rsidRPr="00514C52" w:rsidRDefault="00096B4D" w:rsidP="005E5D1F">
      <w:pPr>
        <w:rPr>
          <w:b/>
          <w:bCs/>
        </w:rPr>
      </w:pPr>
      <w:r w:rsidRPr="00514C52">
        <w:rPr>
          <w:b/>
          <w:bCs/>
        </w:rPr>
        <w:t>Angle Addition Postulate</w:t>
      </w:r>
    </w:p>
    <w:p w14:paraId="0DC3EB90" w14:textId="2DA0B6D0" w:rsidR="00096B4D" w:rsidRDefault="00096B4D" w:rsidP="005E5D1F">
      <w:pPr>
        <w:rPr>
          <w:rFonts w:ascii="Cambria Math" w:eastAsiaTheme="minorEastAsia" w:hAnsi="Cambria Math" w:cs="Cambria Math"/>
        </w:rPr>
      </w:pPr>
      <w:r>
        <w:t xml:space="preserve">If ray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AOB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∡AOB</m:t>
        </m:r>
        <m:r>
          <w:rPr>
            <w:rFonts w:ascii="Cambria Math" w:eastAsiaTheme="minorEastAsia" w:hAnsi="Cambria Math" w:cs="Cambria Math"/>
          </w:rPr>
          <m:t>=m</m:t>
        </m:r>
        <m:r>
          <w:rPr>
            <w:rFonts w:ascii="Cambria Math" w:eastAsiaTheme="minorEastAsia" w:hAnsi="Cambria Math" w:cs="Cambria Math"/>
          </w:rPr>
          <m:t>∡</m:t>
        </m:r>
        <m:r>
          <w:rPr>
            <w:rFonts w:ascii="Cambria Math" w:eastAsiaTheme="minorEastAsia" w:hAnsi="Cambria Math" w:cs="Cambria Math"/>
          </w:rPr>
          <m:t>AOP+m</m:t>
        </m:r>
        <m:r>
          <w:rPr>
            <w:rFonts w:ascii="Cambria Math" w:eastAsiaTheme="minorEastAsia" w:hAnsi="Cambria Math" w:cs="Cambria Math"/>
          </w:rPr>
          <m:t>∡</m:t>
        </m:r>
        <m:r>
          <w:rPr>
            <w:rFonts w:ascii="Cambria Math" w:eastAsiaTheme="minorEastAsia" w:hAnsi="Cambria Math" w:cs="Cambria Math"/>
          </w:rPr>
          <m:t>POB</m:t>
        </m:r>
      </m:oMath>
      <w:r w:rsidRPr="00096B4D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.</w:t>
      </w:r>
    </w:p>
    <w:p w14:paraId="7C6C3D28" w14:textId="05EE7540" w:rsidR="002E5382" w:rsidRDefault="000E22AE" w:rsidP="00661318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2E5382">
        <w:rPr>
          <w:rFonts w:eastAsiaTheme="minorEastAsia"/>
        </w:rPr>
        <w:lastRenderedPageBreak/>
        <w:t>Congruence</w:t>
      </w:r>
    </w:p>
    <w:p w14:paraId="371323C3" w14:textId="2A81FA0A" w:rsidR="000E22AE" w:rsidRDefault="000E22AE" w:rsidP="000E22AE">
      <w:pPr>
        <w:rPr>
          <w:rFonts w:eastAsiaTheme="minorEastAsia"/>
        </w:rPr>
      </w:pPr>
      <w:r>
        <w:t xml:space="preserve">Figures that have the same size and shape are said to be congruent. The symbol for congruent is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>.</w:t>
      </w:r>
    </w:p>
    <w:p w14:paraId="68537EDB" w14:textId="7AA770D1" w:rsidR="000E22AE" w:rsidRDefault="000E22AE" w:rsidP="000E22AE">
      <w:pPr>
        <w:rPr>
          <w:rFonts w:eastAsiaTheme="minorEastAsia"/>
        </w:rPr>
      </w:pPr>
      <w:r>
        <w:rPr>
          <w:rFonts w:eastAsiaTheme="minorEastAsia"/>
        </w:rPr>
        <w:t xml:space="preserve">Figures may agree in one or more </w:t>
      </w:r>
      <w:r w:rsidR="001B24DA">
        <w:rPr>
          <w:rFonts w:eastAsiaTheme="minorEastAsia"/>
        </w:rPr>
        <w:t>dimensions yet</w:t>
      </w:r>
      <w:r>
        <w:rPr>
          <w:rFonts w:eastAsiaTheme="minorEastAsia"/>
        </w:rPr>
        <w:t xml:space="preserve"> not be congruent. A square and parallelogram may have 4 sides of equal length, but the figures are not congruent if their corresponding angles are not identical in measure.</w:t>
      </w:r>
    </w:p>
    <w:p w14:paraId="0AB93F9D" w14:textId="290C1D8C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A line segment has a single dimension – its length. Two segments are congruent, therefore if they have the same length.</w:t>
      </w:r>
    </w:p>
    <w:p w14:paraId="471F6871" w14:textId="348A0DAF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Similarly, if two angles have the same measure, then they are congruent.</w:t>
      </w:r>
    </w:p>
    <w:p w14:paraId="2154F041" w14:textId="2AD9838A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Congruence is one of the fundamental concepts of geometry.</w:t>
      </w:r>
    </w:p>
    <w:p w14:paraId="67D7C8E7" w14:textId="7D73285A" w:rsidR="001B24DA" w:rsidRPr="001B24DA" w:rsidRDefault="001B24DA" w:rsidP="000E22AE">
      <w:pPr>
        <w:rPr>
          <w:rFonts w:eastAsiaTheme="minorEastAsia"/>
          <w:b/>
          <w:bCs/>
        </w:rPr>
      </w:pPr>
      <w:r w:rsidRPr="001B24DA">
        <w:rPr>
          <w:rFonts w:eastAsiaTheme="minorEastAsia"/>
          <w:b/>
          <w:bCs/>
        </w:rPr>
        <w:t>Definition of Congruent Segments Or Angles</w:t>
      </w:r>
    </w:p>
    <w:p w14:paraId="3DA1A34E" w14:textId="5B334F02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Segments (or angles) are </w:t>
      </w:r>
      <w:r w:rsidRPr="001B24DA">
        <w:rPr>
          <w:rFonts w:eastAsiaTheme="minorEastAsia"/>
          <w:i/>
          <w:iCs/>
        </w:rPr>
        <w:t>congruent</w:t>
      </w:r>
      <w:r>
        <w:rPr>
          <w:rFonts w:eastAsiaTheme="minorEastAsia"/>
        </w:rPr>
        <w:t xml:space="preserve"> if they have the same measure.</w:t>
      </w:r>
    </w:p>
    <w:p w14:paraId="19F24006" w14:textId="55B58CCF" w:rsidR="000E22AE" w:rsidRDefault="001B24DA" w:rsidP="00AA0755">
      <w:pPr>
        <w:pStyle w:val="Heading2"/>
      </w:pPr>
      <w:r>
        <w:t>Basic Constructions</w:t>
      </w:r>
    </w:p>
    <w:p w14:paraId="693071EB" w14:textId="4E8B1009" w:rsidR="0079345E" w:rsidRDefault="0079345E" w:rsidP="0079345E">
      <w:r>
        <w:t xml:space="preserve">Geometric constructions, unlike </w:t>
      </w:r>
      <w:r w:rsidRPr="0079345E">
        <w:rPr>
          <w:i/>
          <w:iCs/>
        </w:rPr>
        <w:t>drawings</w:t>
      </w:r>
      <w:r>
        <w:t xml:space="preserve">, are made only with a straightedge (for example, an unmarked ruler) and compass. The point at which the pivot point of the compass is placed is sometimes referred to as the </w:t>
      </w:r>
      <w:r w:rsidRPr="0079345E">
        <w:rPr>
          <w:i/>
          <w:iCs/>
        </w:rPr>
        <w:t>center</w:t>
      </w:r>
      <w:r>
        <w:t>, while the fixed compass setting that is used is called the radius length.</w:t>
      </w:r>
    </w:p>
    <w:p w14:paraId="542F33C9" w14:textId="35207081" w:rsidR="0079345E" w:rsidRDefault="0079345E" w:rsidP="0079345E">
      <w:pPr>
        <w:pStyle w:val="Heading3"/>
      </w:pPr>
      <w:r>
        <w:t>Copying Segments And Angles</w:t>
      </w:r>
    </w:p>
    <w:p w14:paraId="6ED6A6C5" w14:textId="6925674F" w:rsidR="0079345E" w:rsidRDefault="00B53631" w:rsidP="0079345E">
      <w:r>
        <w:t xml:space="preserve">Given a line segment or angle, it is possible to construct another line segment or angle that is congruent to the original segment or angle without </w:t>
      </w:r>
      <w:r w:rsidR="00D332CB">
        <w:t>using a</w:t>
      </w:r>
      <w:r>
        <w:t xml:space="preserve"> ruler or protractor.</w:t>
      </w:r>
    </w:p>
    <w:p w14:paraId="253465AE" w14:textId="4A6E7105" w:rsidR="00D332CB" w:rsidRDefault="00D332CB" w:rsidP="00DE60B0">
      <w:pPr>
        <w:pStyle w:val="Heading3"/>
      </w:pPr>
      <w:r>
        <w:t>Midpoint and Bisector</w:t>
      </w:r>
    </w:p>
    <w:p w14:paraId="378B005A" w14:textId="53F4C74D" w:rsidR="00187B22" w:rsidRPr="00187B22" w:rsidRDefault="00187B22" w:rsidP="0027780A">
      <w:pPr>
        <w:pStyle w:val="Heading3"/>
      </w:pPr>
      <w:r>
        <w:t>Definition of a Midpoint</w:t>
      </w:r>
    </w:p>
    <w:p w14:paraId="251B44B7" w14:textId="47EDAC74" w:rsidR="005B55CB" w:rsidRDefault="005B55CB" w:rsidP="00DE60B0">
      <w:pPr>
        <w:pStyle w:val="Heading3"/>
      </w:pPr>
      <w:r>
        <w:t>Definition of a Segment Bisector</w:t>
      </w:r>
    </w:p>
    <w:p w14:paraId="60F9B645" w14:textId="664F4585" w:rsidR="00FB1840" w:rsidRPr="00FB1840" w:rsidRDefault="00FB1840" w:rsidP="008D3BBE">
      <w:pPr>
        <w:pStyle w:val="Heading3"/>
      </w:pPr>
      <w:r>
        <w:t>Definition of Angle Bisector</w:t>
      </w:r>
    </w:p>
    <w:p w14:paraId="35E15CDE" w14:textId="77777777" w:rsidR="005B55CB" w:rsidRPr="005B55CB" w:rsidRDefault="005B55CB" w:rsidP="005B55CB"/>
    <w:p w14:paraId="5046C8B5" w14:textId="77777777" w:rsidR="00B53631" w:rsidRPr="0079345E" w:rsidRDefault="00B53631" w:rsidP="0079345E"/>
    <w:p w14:paraId="4563DBC7" w14:textId="77777777" w:rsidR="001B24DA" w:rsidRPr="000E22AE" w:rsidRDefault="001B24DA" w:rsidP="000E22AE"/>
    <w:sectPr w:rsidR="001B24DA" w:rsidRPr="000E22AE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4"/>
  </w:num>
  <w:num w:numId="2" w16cid:durableId="1009483757">
    <w:abstractNumId w:val="22"/>
  </w:num>
  <w:num w:numId="3" w16cid:durableId="1736852784">
    <w:abstractNumId w:val="0"/>
  </w:num>
  <w:num w:numId="4" w16cid:durableId="2012441017">
    <w:abstractNumId w:val="6"/>
  </w:num>
  <w:num w:numId="5" w16cid:durableId="775322383">
    <w:abstractNumId w:val="14"/>
  </w:num>
  <w:num w:numId="6" w16cid:durableId="39017907">
    <w:abstractNumId w:val="19"/>
  </w:num>
  <w:num w:numId="7" w16cid:durableId="958531838">
    <w:abstractNumId w:val="5"/>
  </w:num>
  <w:num w:numId="8" w16cid:durableId="2025932722">
    <w:abstractNumId w:val="10"/>
  </w:num>
  <w:num w:numId="9" w16cid:durableId="1952587175">
    <w:abstractNumId w:val="13"/>
  </w:num>
  <w:num w:numId="10" w16cid:durableId="1912347221">
    <w:abstractNumId w:val="17"/>
  </w:num>
  <w:num w:numId="11" w16cid:durableId="2079352992">
    <w:abstractNumId w:val="9"/>
  </w:num>
  <w:num w:numId="12" w16cid:durableId="576403622">
    <w:abstractNumId w:val="20"/>
  </w:num>
  <w:num w:numId="13" w16cid:durableId="529685385">
    <w:abstractNumId w:val="15"/>
  </w:num>
  <w:num w:numId="14" w16cid:durableId="1783303723">
    <w:abstractNumId w:val="11"/>
  </w:num>
  <w:num w:numId="15" w16cid:durableId="30082918">
    <w:abstractNumId w:val="1"/>
  </w:num>
  <w:num w:numId="16" w16cid:durableId="1984308114">
    <w:abstractNumId w:val="16"/>
  </w:num>
  <w:num w:numId="17" w16cid:durableId="1223176985">
    <w:abstractNumId w:val="3"/>
  </w:num>
  <w:num w:numId="18" w16cid:durableId="378670753">
    <w:abstractNumId w:val="21"/>
  </w:num>
  <w:num w:numId="19" w16cid:durableId="526262093">
    <w:abstractNumId w:val="8"/>
  </w:num>
  <w:num w:numId="20" w16cid:durableId="1068918016">
    <w:abstractNumId w:val="7"/>
  </w:num>
  <w:num w:numId="21" w16cid:durableId="1749303882">
    <w:abstractNumId w:val="12"/>
  </w:num>
  <w:num w:numId="22" w16cid:durableId="843589544">
    <w:abstractNumId w:val="2"/>
  </w:num>
  <w:num w:numId="23" w16cid:durableId="270310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30EBE"/>
    <w:rsid w:val="000402F7"/>
    <w:rsid w:val="00096B4D"/>
    <w:rsid w:val="000B5050"/>
    <w:rsid w:val="000E22AE"/>
    <w:rsid w:val="000E5389"/>
    <w:rsid w:val="00121E68"/>
    <w:rsid w:val="00146128"/>
    <w:rsid w:val="00147C20"/>
    <w:rsid w:val="00187B22"/>
    <w:rsid w:val="001B24DA"/>
    <w:rsid w:val="001F216E"/>
    <w:rsid w:val="002067E5"/>
    <w:rsid w:val="00216590"/>
    <w:rsid w:val="00225E7C"/>
    <w:rsid w:val="00232038"/>
    <w:rsid w:val="00233696"/>
    <w:rsid w:val="00236826"/>
    <w:rsid w:val="00256C8B"/>
    <w:rsid w:val="0027780A"/>
    <w:rsid w:val="002C77A1"/>
    <w:rsid w:val="002E5382"/>
    <w:rsid w:val="002E5AA9"/>
    <w:rsid w:val="003410D7"/>
    <w:rsid w:val="003726D4"/>
    <w:rsid w:val="003779AE"/>
    <w:rsid w:val="00395775"/>
    <w:rsid w:val="003B20A4"/>
    <w:rsid w:val="00404AB6"/>
    <w:rsid w:val="004809A6"/>
    <w:rsid w:val="004D28B4"/>
    <w:rsid w:val="004D5D1D"/>
    <w:rsid w:val="00504E99"/>
    <w:rsid w:val="00514C52"/>
    <w:rsid w:val="00581737"/>
    <w:rsid w:val="00595A00"/>
    <w:rsid w:val="005B55CB"/>
    <w:rsid w:val="005B6099"/>
    <w:rsid w:val="005E4B98"/>
    <w:rsid w:val="005E5D1F"/>
    <w:rsid w:val="00604758"/>
    <w:rsid w:val="00661318"/>
    <w:rsid w:val="00680547"/>
    <w:rsid w:val="006866EC"/>
    <w:rsid w:val="00694796"/>
    <w:rsid w:val="007038FD"/>
    <w:rsid w:val="00753D7F"/>
    <w:rsid w:val="00767270"/>
    <w:rsid w:val="007872A8"/>
    <w:rsid w:val="007914F0"/>
    <w:rsid w:val="0079345E"/>
    <w:rsid w:val="007B164A"/>
    <w:rsid w:val="007F460C"/>
    <w:rsid w:val="008205F6"/>
    <w:rsid w:val="008418BD"/>
    <w:rsid w:val="00846ED9"/>
    <w:rsid w:val="0088678C"/>
    <w:rsid w:val="008B6884"/>
    <w:rsid w:val="008B6D4D"/>
    <w:rsid w:val="008D3BBE"/>
    <w:rsid w:val="008E301F"/>
    <w:rsid w:val="00904465"/>
    <w:rsid w:val="00904492"/>
    <w:rsid w:val="00995411"/>
    <w:rsid w:val="009C642A"/>
    <w:rsid w:val="009D3595"/>
    <w:rsid w:val="00A14F73"/>
    <w:rsid w:val="00A43225"/>
    <w:rsid w:val="00A73914"/>
    <w:rsid w:val="00AA0755"/>
    <w:rsid w:val="00AE5855"/>
    <w:rsid w:val="00B04DEB"/>
    <w:rsid w:val="00B30E3D"/>
    <w:rsid w:val="00B31C54"/>
    <w:rsid w:val="00B50375"/>
    <w:rsid w:val="00B53631"/>
    <w:rsid w:val="00BC20D6"/>
    <w:rsid w:val="00BD678B"/>
    <w:rsid w:val="00C020AB"/>
    <w:rsid w:val="00C45798"/>
    <w:rsid w:val="00C630B7"/>
    <w:rsid w:val="00C73D11"/>
    <w:rsid w:val="00C96660"/>
    <w:rsid w:val="00CB1124"/>
    <w:rsid w:val="00CD7454"/>
    <w:rsid w:val="00D332CB"/>
    <w:rsid w:val="00D63137"/>
    <w:rsid w:val="00D925BF"/>
    <w:rsid w:val="00D95032"/>
    <w:rsid w:val="00D96866"/>
    <w:rsid w:val="00DC5D9B"/>
    <w:rsid w:val="00DD5591"/>
    <w:rsid w:val="00DE60B0"/>
    <w:rsid w:val="00E20A21"/>
    <w:rsid w:val="00E43D2F"/>
    <w:rsid w:val="00E631B9"/>
    <w:rsid w:val="00EA1F95"/>
    <w:rsid w:val="00ED663C"/>
    <w:rsid w:val="00EF39CE"/>
    <w:rsid w:val="00F31E5C"/>
    <w:rsid w:val="00F46AD8"/>
    <w:rsid w:val="00F57DB6"/>
    <w:rsid w:val="00F7771B"/>
    <w:rsid w:val="00F914A6"/>
    <w:rsid w:val="00FA028C"/>
    <w:rsid w:val="00FB184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81</cp:revision>
  <dcterms:created xsi:type="dcterms:W3CDTF">2025-05-25T19:51:00Z</dcterms:created>
  <dcterms:modified xsi:type="dcterms:W3CDTF">2025-05-26T19:23:00Z</dcterms:modified>
</cp:coreProperties>
</file>