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243" w:rsidRPr="00817243" w:rsidRDefault="00817243" w:rsidP="00817243">
      <w:pPr>
        <w:jc w:val="both"/>
      </w:pPr>
      <w:r w:rsidRPr="00817243">
        <w:rPr>
          <w:b/>
          <w:bCs/>
        </w:rPr>
        <w:t xml:space="preserve">Diagrama de Contexto </w:t>
      </w:r>
    </w:p>
    <w:p w:rsidR="00817243" w:rsidRDefault="00817243" w:rsidP="00817243">
      <w:pPr>
        <w:jc w:val="both"/>
        <w:rPr>
          <w:b/>
          <w:bCs/>
          <w:noProof/>
        </w:rPr>
      </w:pPr>
      <w:r w:rsidRPr="00817243">
        <w:t>El presente diagrama de contexto del sistema ofrece una visión macro de la arquitectura de integración propuesta para la modernización de los sistemas bancarios. Este nivel proporciona un entendimiento general de cómo la plataforma bancaria integrada interactúa con diversos actores, incluyendo usuarios internos y externos, así como sistemas y servicios de terceros. Esta perspectiva es crucial para identificar las principales interacciones y flujos de información, estableciendo las bases para el diseño detallado en niveles posteriores.</w:t>
      </w:r>
      <w:r w:rsidRPr="00817243">
        <w:rPr>
          <w:b/>
          <w:bCs/>
          <w:noProof/>
        </w:rPr>
        <w:t xml:space="preserve"> </w:t>
      </w:r>
    </w:p>
    <w:p w:rsidR="00A76A04" w:rsidRDefault="00817243" w:rsidP="00A76A04">
      <w:pPr>
        <w:keepNext/>
        <w:jc w:val="both"/>
      </w:pPr>
      <w:r>
        <w:rPr>
          <w:b/>
          <w:bCs/>
          <w:noProof/>
        </w:rPr>
        <w:drawing>
          <wp:inline distT="0" distB="0" distL="0" distR="0" wp14:anchorId="3EDCE8CF" wp14:editId="3BDC1727">
            <wp:extent cx="5398770" cy="33356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8770" cy="3335655"/>
                    </a:xfrm>
                    <a:prstGeom prst="rect">
                      <a:avLst/>
                    </a:prstGeom>
                    <a:noFill/>
                    <a:ln>
                      <a:noFill/>
                    </a:ln>
                  </pic:spPr>
                </pic:pic>
              </a:graphicData>
            </a:graphic>
          </wp:inline>
        </w:drawing>
      </w:r>
    </w:p>
    <w:p w:rsidR="00817243" w:rsidRDefault="00A76A04" w:rsidP="00A76A04">
      <w:pPr>
        <w:pStyle w:val="Descripcin"/>
        <w:jc w:val="both"/>
      </w:pPr>
      <w:r>
        <w:t xml:space="preserve">Ilustración </w:t>
      </w:r>
      <w:r>
        <w:fldChar w:fldCharType="begin"/>
      </w:r>
      <w:r>
        <w:instrText xml:space="preserve"> SEQ Ilustración \* ARABIC </w:instrText>
      </w:r>
      <w:r>
        <w:fldChar w:fldCharType="separate"/>
      </w:r>
      <w:r w:rsidR="00886785">
        <w:rPr>
          <w:noProof/>
        </w:rPr>
        <w:t>1</w:t>
      </w:r>
      <w:r>
        <w:fldChar w:fldCharType="end"/>
      </w:r>
      <w:r>
        <w:t>. Diagrama de contexto.</w:t>
      </w:r>
    </w:p>
    <w:p w:rsidR="00817243" w:rsidRPr="00817243" w:rsidRDefault="00817243" w:rsidP="00817243">
      <w:pPr>
        <w:jc w:val="both"/>
      </w:pPr>
    </w:p>
    <w:p w:rsidR="00817243" w:rsidRPr="00817243" w:rsidRDefault="00817243" w:rsidP="00817243">
      <w:pPr>
        <w:jc w:val="both"/>
      </w:pPr>
      <w:r w:rsidRPr="00817243">
        <w:rPr>
          <w:b/>
          <w:bCs/>
        </w:rPr>
        <w:t>Descripción Principal: Plataforma Bancaria Integrada</w:t>
      </w:r>
    </w:p>
    <w:p w:rsidR="00817243" w:rsidRPr="00817243" w:rsidRDefault="00817243" w:rsidP="00817243">
      <w:pPr>
        <w:jc w:val="both"/>
      </w:pPr>
      <w:r w:rsidRPr="00817243">
        <w:t xml:space="preserve">La </w:t>
      </w:r>
      <w:r w:rsidRPr="00817243">
        <w:rPr>
          <w:b/>
          <w:bCs/>
        </w:rPr>
        <w:t>Plataforma Bancaria Integrada</w:t>
      </w:r>
      <w:r w:rsidRPr="00817243">
        <w:t xml:space="preserve"> es el núcleo de nuestra arquitectura propuesta. Esta plataforma unifica el </w:t>
      </w:r>
      <w:proofErr w:type="spellStart"/>
      <w:r w:rsidRPr="00817243">
        <w:t>core</w:t>
      </w:r>
      <w:proofErr w:type="spellEnd"/>
      <w:r w:rsidRPr="00817243">
        <w:t xml:space="preserve"> bancario tradicional con el nuevo </w:t>
      </w:r>
      <w:proofErr w:type="spellStart"/>
      <w:r w:rsidRPr="00817243">
        <w:t>core</w:t>
      </w:r>
      <w:proofErr w:type="spellEnd"/>
      <w:r w:rsidRPr="00817243">
        <w:t xml:space="preserve"> bancario digital, permitiendo una transición fluida hacia servicios modernos y eficientes. Actúa como el punto central de interacción para todos los usuarios y facilita la comunicación con sistemas externos críticos para las operaciones bancarias.</w:t>
      </w:r>
    </w:p>
    <w:p w:rsidR="00817243" w:rsidRPr="00817243" w:rsidRDefault="00817243" w:rsidP="00817243">
      <w:pPr>
        <w:jc w:val="both"/>
      </w:pPr>
      <w:r w:rsidRPr="00817243">
        <w:rPr>
          <w:b/>
          <w:bCs/>
        </w:rPr>
        <w:t>Usuarios del Sistema</w:t>
      </w:r>
    </w:p>
    <w:p w:rsidR="00817243" w:rsidRPr="00817243" w:rsidRDefault="00817243" w:rsidP="00817243">
      <w:pPr>
        <w:numPr>
          <w:ilvl w:val="0"/>
          <w:numId w:val="1"/>
        </w:numPr>
        <w:jc w:val="both"/>
      </w:pPr>
      <w:r w:rsidRPr="00817243">
        <w:rPr>
          <w:b/>
          <w:bCs/>
        </w:rPr>
        <w:t>Clientes Bancarios</w:t>
      </w:r>
    </w:p>
    <w:p w:rsidR="00817243" w:rsidRPr="00817243" w:rsidRDefault="00817243" w:rsidP="00817243">
      <w:pPr>
        <w:jc w:val="both"/>
      </w:pPr>
      <w:r w:rsidRPr="00817243">
        <w:t>Los clientes son el eje central de las operaciones bancarias. A través de las aplicaciones de banca web y móvil, los clientes pueden acceder a una variedad de servicios, como:</w:t>
      </w:r>
    </w:p>
    <w:p w:rsidR="00817243" w:rsidRPr="00817243" w:rsidRDefault="00817243" w:rsidP="00817243">
      <w:pPr>
        <w:numPr>
          <w:ilvl w:val="1"/>
          <w:numId w:val="1"/>
        </w:numPr>
        <w:jc w:val="both"/>
      </w:pPr>
      <w:r w:rsidRPr="00817243">
        <w:t>Consultar saldos y movimientos.</w:t>
      </w:r>
    </w:p>
    <w:p w:rsidR="00817243" w:rsidRPr="00817243" w:rsidRDefault="00817243" w:rsidP="00817243">
      <w:pPr>
        <w:numPr>
          <w:ilvl w:val="1"/>
          <w:numId w:val="1"/>
        </w:numPr>
        <w:jc w:val="both"/>
      </w:pPr>
      <w:r w:rsidRPr="00817243">
        <w:t>Realizar transferencias y pagos.</w:t>
      </w:r>
    </w:p>
    <w:p w:rsidR="00817243" w:rsidRPr="00817243" w:rsidRDefault="00817243" w:rsidP="00817243">
      <w:pPr>
        <w:numPr>
          <w:ilvl w:val="1"/>
          <w:numId w:val="1"/>
        </w:numPr>
        <w:jc w:val="both"/>
      </w:pPr>
      <w:r w:rsidRPr="00817243">
        <w:t>Solicitar productos financieros.</w:t>
      </w:r>
    </w:p>
    <w:p w:rsidR="00817243" w:rsidRPr="00817243" w:rsidRDefault="00817243" w:rsidP="00817243">
      <w:pPr>
        <w:numPr>
          <w:ilvl w:val="1"/>
          <w:numId w:val="1"/>
        </w:numPr>
        <w:jc w:val="both"/>
      </w:pPr>
      <w:r w:rsidRPr="00817243">
        <w:t>Recibir notificaciones y alertas.</w:t>
      </w:r>
    </w:p>
    <w:p w:rsidR="00817243" w:rsidRPr="00817243" w:rsidRDefault="00817243" w:rsidP="00817243">
      <w:pPr>
        <w:jc w:val="both"/>
      </w:pPr>
      <w:r w:rsidRPr="00817243">
        <w:lastRenderedPageBreak/>
        <w:t>La experiencia del cliente se optimiza mediante interfaces intuitivas y personalizadas, garantizando al mismo tiempo la seguridad y privacidad de sus datos.</w:t>
      </w:r>
    </w:p>
    <w:p w:rsidR="00817243" w:rsidRPr="00817243" w:rsidRDefault="00817243" w:rsidP="00817243">
      <w:pPr>
        <w:numPr>
          <w:ilvl w:val="0"/>
          <w:numId w:val="1"/>
        </w:numPr>
        <w:jc w:val="both"/>
      </w:pPr>
      <w:r w:rsidRPr="00817243">
        <w:rPr>
          <w:b/>
          <w:bCs/>
        </w:rPr>
        <w:t>Empleados del Banco</w:t>
      </w:r>
    </w:p>
    <w:p w:rsidR="00817243" w:rsidRPr="00817243" w:rsidRDefault="00817243" w:rsidP="00817243">
      <w:pPr>
        <w:jc w:val="both"/>
      </w:pPr>
      <w:r w:rsidRPr="00817243">
        <w:t>Los empleados acceden a sistemas internos para:</w:t>
      </w:r>
    </w:p>
    <w:p w:rsidR="00817243" w:rsidRPr="00817243" w:rsidRDefault="00817243" w:rsidP="00817243">
      <w:pPr>
        <w:numPr>
          <w:ilvl w:val="1"/>
          <w:numId w:val="1"/>
        </w:numPr>
        <w:jc w:val="both"/>
      </w:pPr>
      <w:r w:rsidRPr="00817243">
        <w:t>Gestionar cuentas y operaciones.</w:t>
      </w:r>
    </w:p>
    <w:p w:rsidR="00817243" w:rsidRPr="00817243" w:rsidRDefault="00817243" w:rsidP="00817243">
      <w:pPr>
        <w:numPr>
          <w:ilvl w:val="1"/>
          <w:numId w:val="1"/>
        </w:numPr>
        <w:jc w:val="both"/>
      </w:pPr>
      <w:r w:rsidRPr="00817243">
        <w:t>Brindar atención y soporte al cliente.</w:t>
      </w:r>
    </w:p>
    <w:p w:rsidR="00817243" w:rsidRPr="00817243" w:rsidRDefault="00817243" w:rsidP="00817243">
      <w:pPr>
        <w:numPr>
          <w:ilvl w:val="1"/>
          <w:numId w:val="1"/>
        </w:numPr>
        <w:jc w:val="both"/>
      </w:pPr>
      <w:r w:rsidRPr="00817243">
        <w:t>Realizar análisis y reportes internos.</w:t>
      </w:r>
    </w:p>
    <w:p w:rsidR="00817243" w:rsidRPr="00817243" w:rsidRDefault="00817243" w:rsidP="00817243">
      <w:pPr>
        <w:jc w:val="both"/>
      </w:pPr>
      <w:r w:rsidRPr="00817243">
        <w:t>Se implementan estrictas políticas de gestión de identidad y acceso para asegurar que solo el personal autorizado tenga acceso a información sensible.</w:t>
      </w:r>
    </w:p>
    <w:p w:rsidR="00817243" w:rsidRPr="00817243" w:rsidRDefault="00817243" w:rsidP="00817243">
      <w:pPr>
        <w:numPr>
          <w:ilvl w:val="0"/>
          <w:numId w:val="1"/>
        </w:numPr>
        <w:jc w:val="both"/>
      </w:pPr>
      <w:r w:rsidRPr="00817243">
        <w:rPr>
          <w:b/>
          <w:bCs/>
        </w:rPr>
        <w:t>Socios Comerciales</w:t>
      </w:r>
    </w:p>
    <w:p w:rsidR="00817243" w:rsidRPr="00817243" w:rsidRDefault="00817243" w:rsidP="00817243">
      <w:pPr>
        <w:jc w:val="both"/>
      </w:pPr>
      <w:r w:rsidRPr="00817243">
        <w:t xml:space="preserve">A través de las </w:t>
      </w:r>
      <w:proofErr w:type="spellStart"/>
      <w:r w:rsidRPr="00817243">
        <w:rPr>
          <w:b/>
          <w:bCs/>
        </w:rPr>
        <w:t>APIs</w:t>
      </w:r>
      <w:proofErr w:type="spellEnd"/>
      <w:r w:rsidRPr="00817243">
        <w:rPr>
          <w:b/>
          <w:bCs/>
        </w:rPr>
        <w:t xml:space="preserve"> de Open </w:t>
      </w:r>
      <w:proofErr w:type="spellStart"/>
      <w:r w:rsidRPr="00817243">
        <w:rPr>
          <w:b/>
          <w:bCs/>
        </w:rPr>
        <w:t>Finance</w:t>
      </w:r>
      <w:proofErr w:type="spellEnd"/>
      <w:r w:rsidRPr="00817243">
        <w:t>, terceros pueden:</w:t>
      </w:r>
    </w:p>
    <w:p w:rsidR="00817243" w:rsidRPr="00817243" w:rsidRDefault="00817243" w:rsidP="00817243">
      <w:pPr>
        <w:numPr>
          <w:ilvl w:val="1"/>
          <w:numId w:val="1"/>
        </w:numPr>
        <w:jc w:val="both"/>
      </w:pPr>
      <w:r w:rsidRPr="00817243">
        <w:t>Ofrecer servicios financieros complementarios.</w:t>
      </w:r>
    </w:p>
    <w:p w:rsidR="00817243" w:rsidRPr="00817243" w:rsidRDefault="00817243" w:rsidP="00817243">
      <w:pPr>
        <w:numPr>
          <w:ilvl w:val="1"/>
          <w:numId w:val="1"/>
        </w:numPr>
        <w:jc w:val="both"/>
      </w:pPr>
      <w:r w:rsidRPr="00817243">
        <w:t>Integrar soluciones innovadoras que enriquecen la oferta del banco.</w:t>
      </w:r>
    </w:p>
    <w:p w:rsidR="00817243" w:rsidRPr="00817243" w:rsidRDefault="00817243" w:rsidP="00817243">
      <w:pPr>
        <w:numPr>
          <w:ilvl w:val="1"/>
          <w:numId w:val="1"/>
        </w:numPr>
        <w:jc w:val="both"/>
      </w:pPr>
      <w:r w:rsidRPr="00817243">
        <w:t>Acceder a información autorizada por los clientes para brindar servicios personalizados.</w:t>
      </w:r>
    </w:p>
    <w:p w:rsidR="00817243" w:rsidRPr="00817243" w:rsidRDefault="00817243" w:rsidP="00817243">
      <w:pPr>
        <w:jc w:val="both"/>
      </w:pPr>
      <w:r w:rsidRPr="00817243">
        <w:t>Este ecosistema abierto promueve la innovación y amplía las oportunidades de negocio.</w:t>
      </w:r>
    </w:p>
    <w:p w:rsidR="00817243" w:rsidRPr="00817243" w:rsidRDefault="00817243" w:rsidP="00817243">
      <w:pPr>
        <w:jc w:val="both"/>
      </w:pPr>
      <w:r w:rsidRPr="00817243">
        <w:rPr>
          <w:b/>
          <w:bCs/>
        </w:rPr>
        <w:t>Sistemas Externos</w:t>
      </w:r>
    </w:p>
    <w:p w:rsidR="00817243" w:rsidRPr="00817243" w:rsidRDefault="00817243" w:rsidP="00817243">
      <w:pPr>
        <w:numPr>
          <w:ilvl w:val="0"/>
          <w:numId w:val="2"/>
        </w:numPr>
        <w:jc w:val="both"/>
      </w:pPr>
      <w:r w:rsidRPr="00817243">
        <w:rPr>
          <w:b/>
          <w:bCs/>
        </w:rPr>
        <w:t>Redes de Pago</w:t>
      </w:r>
    </w:p>
    <w:p w:rsidR="00817243" w:rsidRPr="00817243" w:rsidRDefault="00817243" w:rsidP="00817243">
      <w:pPr>
        <w:jc w:val="both"/>
      </w:pPr>
      <w:r w:rsidRPr="00817243">
        <w:t>La plataforma se integra con redes de pago para procesar transacciones con tarjetas y otros medios electrónicos, asegurando la eficiencia y seguridad en las operaciones.</w:t>
      </w:r>
    </w:p>
    <w:p w:rsidR="00817243" w:rsidRPr="00817243" w:rsidRDefault="00817243" w:rsidP="00817243">
      <w:pPr>
        <w:numPr>
          <w:ilvl w:val="0"/>
          <w:numId w:val="2"/>
        </w:numPr>
        <w:jc w:val="both"/>
      </w:pPr>
      <w:r w:rsidRPr="00817243">
        <w:rPr>
          <w:b/>
          <w:bCs/>
        </w:rPr>
        <w:t>Reguladores Financieros</w:t>
      </w:r>
    </w:p>
    <w:p w:rsidR="00817243" w:rsidRPr="00817243" w:rsidRDefault="00817243" w:rsidP="00817243">
      <w:pPr>
        <w:jc w:val="both"/>
      </w:pPr>
      <w:r w:rsidRPr="00817243">
        <w:t>Cumpliendo con las regulaciones vigentes, el sistema reporta periódicamente información a los organismos supervisores, garantizando transparencia y cumplimiento normativo.</w:t>
      </w:r>
    </w:p>
    <w:p w:rsidR="00817243" w:rsidRPr="00817243" w:rsidRDefault="00817243" w:rsidP="00817243">
      <w:pPr>
        <w:numPr>
          <w:ilvl w:val="0"/>
          <w:numId w:val="2"/>
        </w:numPr>
        <w:jc w:val="both"/>
      </w:pPr>
      <w:r w:rsidRPr="00817243">
        <w:rPr>
          <w:b/>
          <w:bCs/>
        </w:rPr>
        <w:t>Sistemas de Información Crediticia</w:t>
      </w:r>
    </w:p>
    <w:p w:rsidR="00817243" w:rsidRPr="00817243" w:rsidRDefault="00817243" w:rsidP="00817243">
      <w:pPr>
        <w:jc w:val="both"/>
      </w:pPr>
      <w:r w:rsidRPr="00817243">
        <w:t>Para evaluar la solvencia y riesgo de los clientes, se consultan sistemas de información crediticia, facilitando la toma de decisiones en la otorgación de créditos y otros productos financieros.</w:t>
      </w:r>
    </w:p>
    <w:p w:rsidR="00817243" w:rsidRPr="00817243" w:rsidRDefault="00817243" w:rsidP="00817243">
      <w:pPr>
        <w:numPr>
          <w:ilvl w:val="0"/>
          <w:numId w:val="2"/>
        </w:numPr>
        <w:jc w:val="both"/>
      </w:pPr>
      <w:r w:rsidRPr="00817243">
        <w:rPr>
          <w:b/>
          <w:bCs/>
        </w:rPr>
        <w:t>Servicios de Autenticación Externos</w:t>
      </w:r>
    </w:p>
    <w:p w:rsidR="00817243" w:rsidRPr="00817243" w:rsidRDefault="00817243" w:rsidP="00817243">
      <w:pPr>
        <w:jc w:val="both"/>
      </w:pPr>
      <w:r w:rsidRPr="00817243">
        <w:t>Se incorporan servicios avanzados de autenticación, como biometría y autenticación de dos factores, fortaleciendo la seguridad en el acceso y uso de los servicios bancarios.</w:t>
      </w:r>
    </w:p>
    <w:p w:rsidR="00817243" w:rsidRPr="00817243" w:rsidRDefault="00817243" w:rsidP="00817243">
      <w:pPr>
        <w:jc w:val="both"/>
      </w:pPr>
      <w:r w:rsidRPr="00817243">
        <w:rPr>
          <w:b/>
          <w:bCs/>
        </w:rPr>
        <w:t>Interacciones y Flujos de Información</w:t>
      </w:r>
    </w:p>
    <w:p w:rsidR="00817243" w:rsidRPr="00817243" w:rsidRDefault="00817243" w:rsidP="00817243">
      <w:pPr>
        <w:jc w:val="both"/>
      </w:pPr>
      <w:r w:rsidRPr="00817243">
        <w:t xml:space="preserve">El </w:t>
      </w:r>
      <w:r w:rsidR="00A76A04">
        <w:t>diagrama</w:t>
      </w:r>
      <w:r w:rsidRPr="00817243">
        <w:t xml:space="preserve"> ilustra las principales interacciones entre los usuarios, el sistema principal y los sistemas externos.</w:t>
      </w:r>
    </w:p>
    <w:p w:rsidR="00817243" w:rsidRPr="00817243" w:rsidRDefault="00817243" w:rsidP="00817243">
      <w:pPr>
        <w:numPr>
          <w:ilvl w:val="0"/>
          <w:numId w:val="3"/>
        </w:numPr>
        <w:jc w:val="both"/>
      </w:pPr>
      <w:r w:rsidRPr="00817243">
        <w:t xml:space="preserve">Cuando un </w:t>
      </w:r>
      <w:r w:rsidRPr="00817243">
        <w:rPr>
          <w:b/>
          <w:bCs/>
        </w:rPr>
        <w:t>cliente bancario</w:t>
      </w:r>
      <w:r w:rsidRPr="00817243">
        <w:t xml:space="preserve"> inicia sesión en la aplicación móvil, el sistema verifica su identidad a través de servicios de autenticación externos y permite el acceso a su información personal y transaccional.</w:t>
      </w:r>
    </w:p>
    <w:p w:rsidR="00817243" w:rsidRPr="00817243" w:rsidRDefault="00817243" w:rsidP="00817243">
      <w:pPr>
        <w:numPr>
          <w:ilvl w:val="0"/>
          <w:numId w:val="3"/>
        </w:numPr>
        <w:jc w:val="both"/>
      </w:pPr>
      <w:r w:rsidRPr="00817243">
        <w:lastRenderedPageBreak/>
        <w:t xml:space="preserve">Un </w:t>
      </w:r>
      <w:r w:rsidRPr="00817243">
        <w:rPr>
          <w:b/>
          <w:bCs/>
        </w:rPr>
        <w:t>empleado del banco</w:t>
      </w:r>
      <w:r w:rsidRPr="00817243">
        <w:t xml:space="preserve"> puede acceder al sistema para actualizar la información de un cliente, proceso que está sujeto a controles de seguridad y auditoría.</w:t>
      </w:r>
    </w:p>
    <w:p w:rsidR="00817243" w:rsidRPr="00817243" w:rsidRDefault="00817243" w:rsidP="00817243">
      <w:pPr>
        <w:numPr>
          <w:ilvl w:val="0"/>
          <w:numId w:val="3"/>
        </w:numPr>
        <w:jc w:val="both"/>
      </w:pPr>
      <w:r w:rsidRPr="00817243">
        <w:t xml:space="preserve">Un </w:t>
      </w:r>
      <w:r w:rsidRPr="00817243">
        <w:rPr>
          <w:b/>
          <w:bCs/>
        </w:rPr>
        <w:t>tercero</w:t>
      </w:r>
      <w:r w:rsidRPr="00817243">
        <w:t xml:space="preserve"> puede solicitar, con el consentimiento del cliente, información necesaria para ofrecer un servicio financiero personalizado, a través de las </w:t>
      </w:r>
      <w:proofErr w:type="spellStart"/>
      <w:r w:rsidRPr="00817243">
        <w:t>APIs</w:t>
      </w:r>
      <w:proofErr w:type="spellEnd"/>
      <w:r w:rsidRPr="00817243">
        <w:t xml:space="preserve"> seguras proporcionadas por la plataforma.</w:t>
      </w:r>
    </w:p>
    <w:p w:rsidR="00817243" w:rsidRPr="00817243" w:rsidRDefault="00817243" w:rsidP="00817243">
      <w:pPr>
        <w:jc w:val="both"/>
      </w:pPr>
      <w:r w:rsidRPr="00817243">
        <w:rPr>
          <w:b/>
          <w:bCs/>
        </w:rPr>
        <w:t>Consideraciones de Seguridad y Cumplimiento Normativo</w:t>
      </w:r>
    </w:p>
    <w:p w:rsidR="00817243" w:rsidRPr="00817243" w:rsidRDefault="00817243" w:rsidP="00817243">
      <w:pPr>
        <w:jc w:val="both"/>
      </w:pPr>
      <w:r w:rsidRPr="00817243">
        <w:t>La plataforma está diseñada con una sólida infraestructura de seguridad que incluye:</w:t>
      </w:r>
    </w:p>
    <w:p w:rsidR="00817243" w:rsidRPr="00817243" w:rsidRDefault="00817243" w:rsidP="00817243">
      <w:pPr>
        <w:numPr>
          <w:ilvl w:val="0"/>
          <w:numId w:val="4"/>
        </w:numPr>
        <w:jc w:val="both"/>
      </w:pPr>
      <w:r w:rsidRPr="00817243">
        <w:rPr>
          <w:b/>
          <w:bCs/>
        </w:rPr>
        <w:t>Cifrado de Datos</w:t>
      </w:r>
      <w:r w:rsidRPr="00817243">
        <w:t>: Tanto en tránsito como en reposo, utilizando protocolos como SSL/TLS.</w:t>
      </w:r>
    </w:p>
    <w:p w:rsidR="00817243" w:rsidRPr="00817243" w:rsidRDefault="00817243" w:rsidP="00817243">
      <w:pPr>
        <w:numPr>
          <w:ilvl w:val="0"/>
          <w:numId w:val="4"/>
        </w:numPr>
        <w:jc w:val="both"/>
      </w:pPr>
      <w:r w:rsidRPr="00817243">
        <w:rPr>
          <w:b/>
          <w:bCs/>
        </w:rPr>
        <w:t>Autenticación y Autorización</w:t>
      </w:r>
      <w:r w:rsidRPr="00817243">
        <w:t>: Implementación de OAuth 2.0 y gestión de permisos basada en roles.</w:t>
      </w:r>
    </w:p>
    <w:p w:rsidR="00817243" w:rsidRPr="00817243" w:rsidRDefault="00817243" w:rsidP="00817243">
      <w:pPr>
        <w:numPr>
          <w:ilvl w:val="0"/>
          <w:numId w:val="4"/>
        </w:numPr>
        <w:jc w:val="both"/>
      </w:pPr>
      <w:r w:rsidRPr="00817243">
        <w:rPr>
          <w:b/>
          <w:bCs/>
        </w:rPr>
        <w:t>Monitoreo y Auditoría</w:t>
      </w:r>
      <w:r w:rsidRPr="00817243">
        <w:t>: Registro detallado de actividades para detectar y prevenir actividades fraudulentas.</w:t>
      </w:r>
    </w:p>
    <w:p w:rsidR="0060502E" w:rsidRDefault="00817243" w:rsidP="0060502E">
      <w:pPr>
        <w:numPr>
          <w:ilvl w:val="0"/>
          <w:numId w:val="4"/>
        </w:numPr>
        <w:jc w:val="both"/>
      </w:pPr>
      <w:r w:rsidRPr="00817243">
        <w:rPr>
          <w:b/>
          <w:bCs/>
        </w:rPr>
        <w:t>Cumplimiento Normativo</w:t>
      </w:r>
      <w:r w:rsidRPr="00817243">
        <w:t>: Alineación con la ley orgánica de protección de datos personales y otras regulaciones aplicables.</w:t>
      </w:r>
    </w:p>
    <w:p w:rsidR="00A46B73" w:rsidRDefault="00A46B73">
      <w:r>
        <w:br w:type="page"/>
      </w:r>
    </w:p>
    <w:p w:rsidR="0060502E" w:rsidRPr="0060502E" w:rsidRDefault="0060502E" w:rsidP="0060502E">
      <w:pPr>
        <w:jc w:val="both"/>
      </w:pPr>
      <w:r w:rsidRPr="0060502E">
        <w:rPr>
          <w:b/>
          <w:bCs/>
        </w:rPr>
        <w:lastRenderedPageBreak/>
        <w:t>Diagrama de Contenedores</w:t>
      </w:r>
    </w:p>
    <w:p w:rsidR="0060502E" w:rsidRDefault="0060502E" w:rsidP="0060502E">
      <w:pPr>
        <w:jc w:val="both"/>
      </w:pPr>
      <w:r w:rsidRPr="0060502E">
        <w:t>El diagrama de contenedores ofrece una visión detallada de la arquitectura del sistema, mostrando cómo las aplicaciones, servicios y bases de datos se organizan y comunican. Este nivel es esencial para comprender la estructura general, las tecnologías empleadas y cómo se logra la integración en la modernización del sistema bancario.</w:t>
      </w:r>
    </w:p>
    <w:p w:rsidR="0060502E" w:rsidRDefault="0060502E" w:rsidP="0060502E">
      <w:pPr>
        <w:keepNext/>
        <w:jc w:val="both"/>
      </w:pPr>
      <w:r>
        <w:rPr>
          <w:noProof/>
        </w:rPr>
        <w:drawing>
          <wp:anchor distT="0" distB="0" distL="114300" distR="114300" simplePos="0" relativeHeight="251658240" behindDoc="1" locked="0" layoutInCell="1" allowOverlap="1" wp14:anchorId="05418139">
            <wp:simplePos x="0" y="0"/>
            <wp:positionH relativeFrom="column">
              <wp:posOffset>-992505</wp:posOffset>
            </wp:positionH>
            <wp:positionV relativeFrom="paragraph">
              <wp:posOffset>0</wp:posOffset>
            </wp:positionV>
            <wp:extent cx="7344410" cy="5637530"/>
            <wp:effectExtent l="0" t="0" r="8890" b="1270"/>
            <wp:wrapTight wrapText="bothSides">
              <wp:wrapPolygon edited="0">
                <wp:start x="0" y="0"/>
                <wp:lineTo x="0" y="21532"/>
                <wp:lineTo x="21570" y="21532"/>
                <wp:lineTo x="2157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344410" cy="5637530"/>
                    </a:xfrm>
                    <a:prstGeom prst="rect">
                      <a:avLst/>
                    </a:prstGeom>
                  </pic:spPr>
                </pic:pic>
              </a:graphicData>
            </a:graphic>
            <wp14:sizeRelH relativeFrom="page">
              <wp14:pctWidth>0</wp14:pctWidth>
            </wp14:sizeRelH>
            <wp14:sizeRelV relativeFrom="page">
              <wp14:pctHeight>0</wp14:pctHeight>
            </wp14:sizeRelV>
          </wp:anchor>
        </w:drawing>
      </w:r>
    </w:p>
    <w:p w:rsidR="0060502E" w:rsidRPr="0060502E" w:rsidRDefault="0060502E" w:rsidP="0060502E">
      <w:pPr>
        <w:pStyle w:val="Descripcin"/>
        <w:jc w:val="both"/>
      </w:pPr>
      <w:r>
        <w:t xml:space="preserve">Ilustración </w:t>
      </w:r>
      <w:r>
        <w:fldChar w:fldCharType="begin"/>
      </w:r>
      <w:r>
        <w:instrText xml:space="preserve"> SEQ Ilustración \* ARABIC </w:instrText>
      </w:r>
      <w:r>
        <w:fldChar w:fldCharType="separate"/>
      </w:r>
      <w:r w:rsidR="00886785">
        <w:rPr>
          <w:noProof/>
        </w:rPr>
        <w:t>2</w:t>
      </w:r>
      <w:r>
        <w:fldChar w:fldCharType="end"/>
      </w:r>
      <w:r>
        <w:t>. Diagrama de Contenedores</w:t>
      </w:r>
    </w:p>
    <w:p w:rsidR="0060502E" w:rsidRPr="0060502E" w:rsidRDefault="0060502E" w:rsidP="0060502E">
      <w:pPr>
        <w:jc w:val="both"/>
      </w:pPr>
      <w:r w:rsidRPr="0060502E">
        <w:rPr>
          <w:b/>
          <w:bCs/>
        </w:rPr>
        <w:t>Descripción de los Contenedores Principales</w:t>
      </w:r>
    </w:p>
    <w:p w:rsidR="0060502E" w:rsidRPr="0060502E" w:rsidRDefault="0060502E" w:rsidP="007F2CFE">
      <w:pPr>
        <w:jc w:val="center"/>
      </w:pPr>
      <w:r w:rsidRPr="0060502E">
        <w:rPr>
          <w:b/>
          <w:bCs/>
        </w:rPr>
        <w:t>Aplicaciones Front-</w:t>
      </w:r>
      <w:proofErr w:type="spellStart"/>
      <w:r w:rsidRPr="0060502E">
        <w:rPr>
          <w:b/>
          <w:bCs/>
        </w:rPr>
        <w:t>end</w:t>
      </w:r>
      <w:proofErr w:type="spellEnd"/>
    </w:p>
    <w:p w:rsidR="0060502E" w:rsidRPr="0060502E" w:rsidRDefault="0060502E" w:rsidP="0060502E">
      <w:pPr>
        <w:jc w:val="both"/>
      </w:pPr>
      <w:r w:rsidRPr="0060502E">
        <w:rPr>
          <w:b/>
          <w:bCs/>
        </w:rPr>
        <w:t>Banca Web</w:t>
      </w:r>
    </w:p>
    <w:p w:rsidR="0060502E" w:rsidRPr="0060502E" w:rsidRDefault="0060502E" w:rsidP="0060502E">
      <w:pPr>
        <w:jc w:val="both"/>
      </w:pPr>
      <w:r w:rsidRPr="0060502E">
        <w:t xml:space="preserve">La aplicación de banca web permite a los clientes acceder a servicios bancarios desde cualquier navegador. Desarrollada con </w:t>
      </w:r>
      <w:r w:rsidRPr="0060502E">
        <w:rPr>
          <w:b/>
          <w:bCs/>
        </w:rPr>
        <w:t>Angular</w:t>
      </w:r>
      <w:r w:rsidRPr="0060502E">
        <w:t xml:space="preserve"> y </w:t>
      </w:r>
      <w:proofErr w:type="spellStart"/>
      <w:r w:rsidRPr="0060502E">
        <w:rPr>
          <w:b/>
          <w:bCs/>
        </w:rPr>
        <w:t>TypeScript</w:t>
      </w:r>
      <w:proofErr w:type="spellEnd"/>
      <w:r w:rsidRPr="0060502E">
        <w:t xml:space="preserve">, ofrece una interfaz intuitiva y responsiva. Se comunica con el sistema a través del </w:t>
      </w:r>
      <w:r w:rsidRPr="0060502E">
        <w:rPr>
          <w:b/>
          <w:bCs/>
        </w:rPr>
        <w:t>API Gateway</w:t>
      </w:r>
      <w:r w:rsidRPr="0060502E">
        <w:t>, asegurando una comunicación segura y eficiente.</w:t>
      </w:r>
    </w:p>
    <w:p w:rsidR="0060502E" w:rsidRPr="0060502E" w:rsidRDefault="0060502E" w:rsidP="0060502E">
      <w:pPr>
        <w:jc w:val="both"/>
      </w:pPr>
      <w:r w:rsidRPr="0060502E">
        <w:rPr>
          <w:b/>
          <w:bCs/>
        </w:rPr>
        <w:lastRenderedPageBreak/>
        <w:t>Banca Móvil</w:t>
      </w:r>
    </w:p>
    <w:p w:rsidR="0060502E" w:rsidRPr="0060502E" w:rsidRDefault="0060502E" w:rsidP="0060502E">
      <w:pPr>
        <w:jc w:val="both"/>
      </w:pPr>
      <w:r w:rsidRPr="0060502E">
        <w:t xml:space="preserve">La aplicación de banca móvil proporciona acceso desde dispositivos iOS y Android, desarrollada con </w:t>
      </w:r>
      <w:proofErr w:type="spellStart"/>
      <w:r>
        <w:rPr>
          <w:b/>
          <w:bCs/>
        </w:rPr>
        <w:t>Flutter</w:t>
      </w:r>
      <w:proofErr w:type="spellEnd"/>
      <w:r w:rsidRPr="0060502E">
        <w:t xml:space="preserve"> respectivamente. Ofrece funcionalidades similares a la banca web, optimizadas para dispositivos móviles.</w:t>
      </w:r>
    </w:p>
    <w:p w:rsidR="0060502E" w:rsidRPr="0060502E" w:rsidRDefault="0060502E" w:rsidP="00DC0978">
      <w:pPr>
        <w:jc w:val="center"/>
      </w:pPr>
      <w:r w:rsidRPr="0060502E">
        <w:rPr>
          <w:b/>
          <w:bCs/>
        </w:rPr>
        <w:t>Core Bancario</w:t>
      </w:r>
    </w:p>
    <w:p w:rsidR="0060502E" w:rsidRPr="0060502E" w:rsidRDefault="0060502E" w:rsidP="0060502E">
      <w:pPr>
        <w:jc w:val="both"/>
      </w:pPr>
      <w:r w:rsidRPr="0060502E">
        <w:rPr>
          <w:b/>
          <w:bCs/>
        </w:rPr>
        <w:t>Core Bancario Tradicional</w:t>
      </w:r>
    </w:p>
    <w:p w:rsidR="0060502E" w:rsidRPr="0060502E" w:rsidRDefault="0060502E" w:rsidP="0060502E">
      <w:pPr>
        <w:jc w:val="both"/>
      </w:pPr>
      <w:r w:rsidRPr="0060502E">
        <w:t xml:space="preserve">Sistema </w:t>
      </w:r>
      <w:proofErr w:type="spellStart"/>
      <w:r w:rsidRPr="0060502E">
        <w:t>legacy</w:t>
      </w:r>
      <w:proofErr w:type="spellEnd"/>
      <w:r w:rsidRPr="0060502E">
        <w:t xml:space="preserve"> que maneja operaciones bancarias fundamentales. Se han desarrollado adaptadores para permitir su integración con el nuevo ecosistema, asegurando que las funcionalidades existentes continúen operativas.</w:t>
      </w:r>
    </w:p>
    <w:p w:rsidR="0060502E" w:rsidRPr="0060502E" w:rsidRDefault="0060502E" w:rsidP="0060502E">
      <w:pPr>
        <w:jc w:val="both"/>
      </w:pPr>
      <w:r w:rsidRPr="0060502E">
        <w:rPr>
          <w:b/>
          <w:bCs/>
        </w:rPr>
        <w:t>Nuevo Core Bancario Digital</w:t>
      </w:r>
    </w:p>
    <w:p w:rsidR="0060502E" w:rsidRPr="0060502E" w:rsidRDefault="0060502E" w:rsidP="0060502E">
      <w:pPr>
        <w:jc w:val="both"/>
      </w:pPr>
      <w:r w:rsidRPr="0060502E">
        <w:t xml:space="preserve">Diseñado para soportar servicios digitales modernos, desarrollado con </w:t>
      </w:r>
      <w:r w:rsidRPr="0060502E">
        <w:rPr>
          <w:b/>
          <w:bCs/>
        </w:rPr>
        <w:t>Java</w:t>
      </w:r>
      <w:r w:rsidRPr="0060502E">
        <w:t xml:space="preserve"> y </w:t>
      </w:r>
      <w:r w:rsidRPr="0060502E">
        <w:rPr>
          <w:b/>
          <w:bCs/>
        </w:rPr>
        <w:t xml:space="preserve">Spring </w:t>
      </w:r>
      <w:proofErr w:type="spellStart"/>
      <w:r w:rsidRPr="0060502E">
        <w:rPr>
          <w:b/>
          <w:bCs/>
        </w:rPr>
        <w:t>Boot</w:t>
      </w:r>
      <w:proofErr w:type="spellEnd"/>
      <w:r w:rsidRPr="0060502E">
        <w:t>. Es modular y escalable, permitiendo incorporar nuevas funcionalidades de manera ágil.</w:t>
      </w:r>
    </w:p>
    <w:p w:rsidR="0060502E" w:rsidRPr="0060502E" w:rsidRDefault="0060502E" w:rsidP="007F2CFE">
      <w:pPr>
        <w:jc w:val="center"/>
      </w:pPr>
      <w:r w:rsidRPr="0060502E">
        <w:rPr>
          <w:b/>
          <w:bCs/>
        </w:rPr>
        <w:t>Plataforma de Integración</w:t>
      </w:r>
    </w:p>
    <w:p w:rsidR="0060502E" w:rsidRPr="0060502E" w:rsidRDefault="0060502E" w:rsidP="0060502E">
      <w:pPr>
        <w:jc w:val="both"/>
      </w:pPr>
      <w:r w:rsidRPr="0060502E">
        <w:rPr>
          <w:b/>
          <w:bCs/>
        </w:rPr>
        <w:t>Bus de Servicios Empresarial (ESB)</w:t>
      </w:r>
    </w:p>
    <w:p w:rsidR="0060502E" w:rsidRPr="0060502E" w:rsidRDefault="0060502E" w:rsidP="0060502E">
      <w:pPr>
        <w:jc w:val="both"/>
      </w:pPr>
      <w:r w:rsidRPr="0060502E">
        <w:t xml:space="preserve">Implementado con </w:t>
      </w:r>
      <w:r w:rsidR="00F550B7">
        <w:rPr>
          <w:b/>
          <w:bCs/>
        </w:rPr>
        <w:t>IBM IIB</w:t>
      </w:r>
      <w:r w:rsidRPr="0060502E">
        <w:t>, actúa como canal central de comunicación, facilitando la transformación y enrutamiento de mensajes.</w:t>
      </w:r>
    </w:p>
    <w:p w:rsidR="0060502E" w:rsidRPr="0060502E" w:rsidRDefault="0060502E" w:rsidP="0060502E">
      <w:pPr>
        <w:jc w:val="both"/>
      </w:pPr>
      <w:r w:rsidRPr="0060502E">
        <w:rPr>
          <w:b/>
          <w:bCs/>
        </w:rPr>
        <w:t>API Gateway</w:t>
      </w:r>
    </w:p>
    <w:p w:rsidR="0060502E" w:rsidRPr="0060502E" w:rsidRDefault="0060502E" w:rsidP="0060502E">
      <w:pPr>
        <w:jc w:val="both"/>
      </w:pPr>
      <w:r w:rsidRPr="0060502E">
        <w:t xml:space="preserve">Utilizando </w:t>
      </w:r>
      <w:r w:rsidR="00F550B7">
        <w:rPr>
          <w:b/>
          <w:bCs/>
        </w:rPr>
        <w:t>APISIX</w:t>
      </w:r>
      <w:r w:rsidRPr="0060502E">
        <w:t xml:space="preserve">, centraliza el acceso a todas las </w:t>
      </w:r>
      <w:proofErr w:type="spellStart"/>
      <w:r w:rsidRPr="0060502E">
        <w:t>APIs</w:t>
      </w:r>
      <w:proofErr w:type="spellEnd"/>
      <w:r w:rsidRPr="0060502E">
        <w:t>, aplicando políticas de seguridad y permitiendo el monitoreo del tráfico.</w:t>
      </w:r>
    </w:p>
    <w:p w:rsidR="0060502E" w:rsidRPr="0060502E" w:rsidRDefault="0060502E" w:rsidP="007F2CFE">
      <w:pPr>
        <w:jc w:val="center"/>
      </w:pPr>
      <w:r w:rsidRPr="0060502E">
        <w:rPr>
          <w:b/>
          <w:bCs/>
        </w:rPr>
        <w:t>Plataforma de Mensajería</w:t>
      </w:r>
    </w:p>
    <w:p w:rsidR="0060502E" w:rsidRPr="0060502E" w:rsidRDefault="0060502E" w:rsidP="0060502E">
      <w:pPr>
        <w:jc w:val="both"/>
      </w:pPr>
      <w:r w:rsidRPr="0060502E">
        <w:rPr>
          <w:b/>
          <w:bCs/>
        </w:rPr>
        <w:t>Apache Kafka</w:t>
      </w:r>
      <w:r w:rsidRPr="0060502E">
        <w:t xml:space="preserve"> gestiona la comunicación asíncrona y basada en eventos, mejorando la escalabilidad y resiliencia.</w:t>
      </w:r>
    </w:p>
    <w:p w:rsidR="0060502E" w:rsidRPr="0060502E" w:rsidRDefault="0060502E" w:rsidP="007F2CFE">
      <w:pPr>
        <w:jc w:val="center"/>
      </w:pPr>
      <w:r w:rsidRPr="0060502E">
        <w:rPr>
          <w:b/>
          <w:bCs/>
        </w:rPr>
        <w:t>Servicios de Back-</w:t>
      </w:r>
      <w:proofErr w:type="spellStart"/>
      <w:r w:rsidRPr="0060502E">
        <w:rPr>
          <w:b/>
          <w:bCs/>
        </w:rPr>
        <w:t>end</w:t>
      </w:r>
      <w:proofErr w:type="spellEnd"/>
    </w:p>
    <w:p w:rsidR="0060502E" w:rsidRPr="0060502E" w:rsidRDefault="0060502E" w:rsidP="0060502E">
      <w:pPr>
        <w:jc w:val="both"/>
      </w:pPr>
      <w:r w:rsidRPr="0060502E">
        <w:rPr>
          <w:b/>
          <w:bCs/>
        </w:rPr>
        <w:t>Sistema de Gestión de Riesgos</w:t>
      </w:r>
    </w:p>
    <w:p w:rsidR="0060502E" w:rsidRPr="0060502E" w:rsidRDefault="0060502E" w:rsidP="0060502E">
      <w:pPr>
        <w:jc w:val="both"/>
      </w:pPr>
      <w:r w:rsidRPr="0060502E">
        <w:t xml:space="preserve">Analiza transacciones y perfiles para identificar riesgos, desarrollado en </w:t>
      </w:r>
      <w:r w:rsidRPr="0060502E">
        <w:rPr>
          <w:b/>
          <w:bCs/>
        </w:rPr>
        <w:t>Java</w:t>
      </w:r>
      <w:r w:rsidRPr="0060502E">
        <w:t xml:space="preserve"> con motores de reglas.</w:t>
      </w:r>
    </w:p>
    <w:p w:rsidR="0060502E" w:rsidRPr="0060502E" w:rsidRDefault="0060502E" w:rsidP="0060502E">
      <w:pPr>
        <w:jc w:val="both"/>
      </w:pPr>
      <w:r w:rsidRPr="0060502E">
        <w:rPr>
          <w:b/>
          <w:bCs/>
        </w:rPr>
        <w:t>Sistema de Prevención de Fraudes</w:t>
      </w:r>
    </w:p>
    <w:p w:rsidR="0060502E" w:rsidRPr="0060502E" w:rsidRDefault="0060502E" w:rsidP="0060502E">
      <w:pPr>
        <w:jc w:val="both"/>
      </w:pPr>
      <w:r w:rsidRPr="0060502E">
        <w:t xml:space="preserve">Detecta patrones sospechosos utilizando </w:t>
      </w:r>
      <w:r w:rsidRPr="0060502E">
        <w:rPr>
          <w:b/>
          <w:bCs/>
        </w:rPr>
        <w:t>Python</w:t>
      </w:r>
      <w:r w:rsidRPr="0060502E">
        <w:t xml:space="preserve"> y </w:t>
      </w:r>
      <w:r w:rsidRPr="0060502E">
        <w:rPr>
          <w:b/>
          <w:bCs/>
        </w:rPr>
        <w:t xml:space="preserve">Machine </w:t>
      </w:r>
      <w:proofErr w:type="spellStart"/>
      <w:r w:rsidRPr="0060502E">
        <w:rPr>
          <w:b/>
          <w:bCs/>
        </w:rPr>
        <w:t>Learning</w:t>
      </w:r>
      <w:proofErr w:type="spellEnd"/>
      <w:r w:rsidRPr="0060502E">
        <w:t>, procesando eventos en tiempo real.</w:t>
      </w:r>
    </w:p>
    <w:p w:rsidR="0060502E" w:rsidRPr="0060502E" w:rsidRDefault="0060502E" w:rsidP="007F2CFE">
      <w:pPr>
        <w:jc w:val="center"/>
      </w:pPr>
      <w:r w:rsidRPr="0060502E">
        <w:rPr>
          <w:b/>
          <w:bCs/>
        </w:rPr>
        <w:t>Bases de Datos</w:t>
      </w:r>
    </w:p>
    <w:p w:rsidR="0060502E" w:rsidRPr="0060502E" w:rsidRDefault="0060502E" w:rsidP="0060502E">
      <w:pPr>
        <w:jc w:val="both"/>
      </w:pPr>
      <w:r w:rsidRPr="0060502E">
        <w:rPr>
          <w:b/>
          <w:bCs/>
        </w:rPr>
        <w:t>Base de Datos Transaccional</w:t>
      </w:r>
    </w:p>
    <w:p w:rsidR="0060502E" w:rsidRPr="0060502E" w:rsidRDefault="0060502E" w:rsidP="0060502E">
      <w:pPr>
        <w:jc w:val="both"/>
      </w:pPr>
      <w:r w:rsidRPr="0060502E">
        <w:t xml:space="preserve">Utiliza </w:t>
      </w:r>
      <w:r w:rsidRPr="0060502E">
        <w:rPr>
          <w:b/>
          <w:bCs/>
        </w:rPr>
        <w:t>Oracle</w:t>
      </w:r>
      <w:r w:rsidR="00B0067A">
        <w:rPr>
          <w:b/>
          <w:bCs/>
        </w:rPr>
        <w:t xml:space="preserve">, </w:t>
      </w:r>
      <w:proofErr w:type="spellStart"/>
      <w:r w:rsidR="00B0067A">
        <w:rPr>
          <w:b/>
          <w:bCs/>
        </w:rPr>
        <w:t>SQLServer</w:t>
      </w:r>
      <w:proofErr w:type="spellEnd"/>
      <w:r w:rsidRPr="0060502E">
        <w:t xml:space="preserve"> para almacenar operaciones transaccionales, con replicación y </w:t>
      </w:r>
      <w:proofErr w:type="spellStart"/>
      <w:r w:rsidRPr="0060502E">
        <w:t>clustering</w:t>
      </w:r>
      <w:proofErr w:type="spellEnd"/>
      <w:r w:rsidRPr="0060502E">
        <w:t xml:space="preserve"> para alta disponibilidad.</w:t>
      </w:r>
    </w:p>
    <w:p w:rsidR="0060502E" w:rsidRPr="0060502E" w:rsidRDefault="0060502E" w:rsidP="0060502E">
      <w:pPr>
        <w:jc w:val="both"/>
      </w:pPr>
      <w:r w:rsidRPr="0060502E">
        <w:rPr>
          <w:b/>
          <w:bCs/>
        </w:rPr>
        <w:t xml:space="preserve">Data </w:t>
      </w:r>
      <w:proofErr w:type="spellStart"/>
      <w:r w:rsidRPr="0060502E">
        <w:rPr>
          <w:b/>
          <w:bCs/>
        </w:rPr>
        <w:t>Warehouse</w:t>
      </w:r>
      <w:proofErr w:type="spellEnd"/>
    </w:p>
    <w:p w:rsidR="0060502E" w:rsidRPr="0060502E" w:rsidRDefault="0060502E" w:rsidP="0060502E">
      <w:pPr>
        <w:jc w:val="both"/>
      </w:pPr>
      <w:r w:rsidRPr="0060502E">
        <w:t xml:space="preserve">Implementado con </w:t>
      </w:r>
      <w:r w:rsidRPr="0060502E">
        <w:rPr>
          <w:b/>
          <w:bCs/>
        </w:rPr>
        <w:t xml:space="preserve">SQL Server </w:t>
      </w:r>
      <w:proofErr w:type="spellStart"/>
      <w:r w:rsidRPr="0060502E">
        <w:rPr>
          <w:b/>
          <w:bCs/>
        </w:rPr>
        <w:t>Analysis</w:t>
      </w:r>
      <w:proofErr w:type="spellEnd"/>
      <w:r w:rsidRPr="0060502E">
        <w:rPr>
          <w:b/>
          <w:bCs/>
        </w:rPr>
        <w:t xml:space="preserve"> </w:t>
      </w:r>
      <w:proofErr w:type="spellStart"/>
      <w:r w:rsidRPr="0060502E">
        <w:rPr>
          <w:b/>
          <w:bCs/>
        </w:rPr>
        <w:t>Services</w:t>
      </w:r>
      <w:proofErr w:type="spellEnd"/>
      <w:r w:rsidRPr="0060502E">
        <w:t>, almacena datos para análisis y reportes.</w:t>
      </w:r>
    </w:p>
    <w:p w:rsidR="0060502E" w:rsidRPr="0060502E" w:rsidRDefault="0060502E" w:rsidP="0060502E">
      <w:pPr>
        <w:jc w:val="both"/>
      </w:pPr>
      <w:r w:rsidRPr="0060502E">
        <w:rPr>
          <w:b/>
          <w:bCs/>
        </w:rPr>
        <w:lastRenderedPageBreak/>
        <w:t>Bases de Datos NoSQL</w:t>
      </w:r>
    </w:p>
    <w:p w:rsidR="0060502E" w:rsidRPr="0060502E" w:rsidRDefault="0060502E" w:rsidP="0060502E">
      <w:pPr>
        <w:jc w:val="both"/>
      </w:pPr>
      <w:r w:rsidRPr="0060502E">
        <w:rPr>
          <w:b/>
          <w:bCs/>
        </w:rPr>
        <w:t>MongoDB</w:t>
      </w:r>
      <w:r w:rsidRPr="0060502E">
        <w:t xml:space="preserve"> almacena datos no estructurados, </w:t>
      </w:r>
      <w:r w:rsidRPr="0060502E">
        <w:rPr>
          <w:b/>
          <w:bCs/>
        </w:rPr>
        <w:t>Redis</w:t>
      </w:r>
      <w:r w:rsidRPr="0060502E">
        <w:t xml:space="preserve"> mejora el rendimiento como caché.</w:t>
      </w:r>
    </w:p>
    <w:p w:rsidR="007F2CFE" w:rsidRDefault="007F2CFE" w:rsidP="007F2CFE">
      <w:pPr>
        <w:jc w:val="center"/>
        <w:rPr>
          <w:b/>
          <w:bCs/>
        </w:rPr>
      </w:pPr>
    </w:p>
    <w:p w:rsidR="0060502E" w:rsidRPr="0060502E" w:rsidRDefault="0060502E" w:rsidP="007F2CFE">
      <w:pPr>
        <w:jc w:val="center"/>
      </w:pPr>
      <w:r w:rsidRPr="0060502E">
        <w:rPr>
          <w:b/>
          <w:bCs/>
        </w:rPr>
        <w:t>Sistemas Externos</w:t>
      </w:r>
    </w:p>
    <w:p w:rsidR="0060502E" w:rsidRPr="0060502E" w:rsidRDefault="0060502E" w:rsidP="0060502E">
      <w:pPr>
        <w:jc w:val="both"/>
      </w:pPr>
      <w:proofErr w:type="spellStart"/>
      <w:r w:rsidRPr="0060502E">
        <w:rPr>
          <w:b/>
          <w:bCs/>
        </w:rPr>
        <w:t>APIs</w:t>
      </w:r>
      <w:proofErr w:type="spellEnd"/>
      <w:r w:rsidRPr="0060502E">
        <w:rPr>
          <w:b/>
          <w:bCs/>
        </w:rPr>
        <w:t xml:space="preserve"> de Terceros (Open </w:t>
      </w:r>
      <w:proofErr w:type="spellStart"/>
      <w:r w:rsidRPr="0060502E">
        <w:rPr>
          <w:b/>
          <w:bCs/>
        </w:rPr>
        <w:t>Finance</w:t>
      </w:r>
      <w:proofErr w:type="spellEnd"/>
      <w:r w:rsidRPr="0060502E">
        <w:rPr>
          <w:b/>
          <w:bCs/>
        </w:rPr>
        <w:t>)</w:t>
      </w:r>
    </w:p>
    <w:p w:rsidR="0060502E" w:rsidRPr="0060502E" w:rsidRDefault="0060502E" w:rsidP="0060502E">
      <w:pPr>
        <w:jc w:val="both"/>
      </w:pPr>
      <w:r w:rsidRPr="0060502E">
        <w:t xml:space="preserve">Expuestas a través del </w:t>
      </w:r>
      <w:r w:rsidRPr="0060502E">
        <w:rPr>
          <w:b/>
          <w:bCs/>
        </w:rPr>
        <w:t>API Gateway</w:t>
      </w:r>
      <w:r w:rsidRPr="0060502E">
        <w:t xml:space="preserve">, permiten a terceros autorizados interactuar con servicios bancarios, utilizando </w:t>
      </w:r>
      <w:r w:rsidRPr="0060502E">
        <w:rPr>
          <w:b/>
          <w:bCs/>
        </w:rPr>
        <w:t>OAuth 2.0</w:t>
      </w:r>
      <w:r w:rsidRPr="0060502E">
        <w:t xml:space="preserve"> para seguridad.</w:t>
      </w:r>
    </w:p>
    <w:p w:rsidR="0060502E" w:rsidRPr="0060502E" w:rsidRDefault="0060502E" w:rsidP="0060502E">
      <w:pPr>
        <w:jc w:val="both"/>
      </w:pPr>
      <w:r w:rsidRPr="0060502E">
        <w:rPr>
          <w:b/>
          <w:bCs/>
        </w:rPr>
        <w:t>Servicios Regulatorios</w:t>
      </w:r>
    </w:p>
    <w:p w:rsidR="0060502E" w:rsidRDefault="0060502E" w:rsidP="0060502E">
      <w:pPr>
        <w:jc w:val="both"/>
      </w:pPr>
      <w:r w:rsidRPr="0060502E">
        <w:t>Comunicación con organismos reguladores para envío de reportes y cumplimiento normativo.</w:t>
      </w:r>
    </w:p>
    <w:p w:rsidR="007F2CFE" w:rsidRDefault="007F2CFE" w:rsidP="007F2CFE">
      <w:pPr>
        <w:jc w:val="both"/>
        <w:rPr>
          <w:b/>
          <w:bCs/>
        </w:rPr>
      </w:pPr>
    </w:p>
    <w:p w:rsidR="007F2CFE" w:rsidRDefault="007F2CFE" w:rsidP="007F2CFE">
      <w:pPr>
        <w:jc w:val="both"/>
        <w:rPr>
          <w:b/>
          <w:bCs/>
        </w:rPr>
      </w:pPr>
    </w:p>
    <w:p w:rsidR="007F2CFE" w:rsidRDefault="007F2CFE" w:rsidP="007F2CFE">
      <w:pPr>
        <w:jc w:val="both"/>
        <w:rPr>
          <w:b/>
          <w:bCs/>
        </w:rPr>
      </w:pPr>
      <w:r w:rsidRPr="0060502E">
        <w:rPr>
          <w:b/>
          <w:bCs/>
        </w:rPr>
        <w:t xml:space="preserve">Diagrama de </w:t>
      </w:r>
      <w:r>
        <w:rPr>
          <w:b/>
          <w:bCs/>
        </w:rPr>
        <w:t>Componentes</w:t>
      </w:r>
    </w:p>
    <w:p w:rsidR="007F2CFE" w:rsidRDefault="00886785" w:rsidP="007F2CFE">
      <w:pPr>
        <w:jc w:val="both"/>
        <w:rPr>
          <w:b/>
          <w:bCs/>
        </w:rPr>
      </w:pPr>
      <w:r w:rsidRPr="00886785">
        <w:rPr>
          <w:b/>
          <w:bCs/>
        </w:rPr>
        <w:t>Nuevo Core Bancario Digital</w:t>
      </w:r>
    </w:p>
    <w:p w:rsidR="00886785" w:rsidRDefault="00886785" w:rsidP="007F2CFE">
      <w:pPr>
        <w:jc w:val="both"/>
        <w:rPr>
          <w:b/>
          <w:bCs/>
        </w:rPr>
      </w:pPr>
      <w:r>
        <w:t>En esta sección, se presenta el Nivel 3 del modelo C4, enfocado en el diagrama de componentes del Nuevo Core Bancario Digital. Este nivel proporciona una visión detallada de la arquitectura interna, mostrando cómo los diferentes módulos interactúan para ofrecer funcionalidades bancarias modernas y seguras.</w:t>
      </w:r>
    </w:p>
    <w:p w:rsidR="00886785" w:rsidRDefault="00AD1156" w:rsidP="00886785">
      <w:pPr>
        <w:keepNext/>
        <w:jc w:val="both"/>
      </w:pPr>
      <w:r>
        <w:rPr>
          <w:noProof/>
        </w:rPr>
        <w:drawing>
          <wp:inline distT="0" distB="0" distL="0" distR="0">
            <wp:extent cx="5400040" cy="2660624"/>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660624"/>
                    </a:xfrm>
                    <a:prstGeom prst="rect">
                      <a:avLst/>
                    </a:prstGeom>
                    <a:noFill/>
                    <a:ln>
                      <a:noFill/>
                    </a:ln>
                  </pic:spPr>
                </pic:pic>
              </a:graphicData>
            </a:graphic>
          </wp:inline>
        </w:drawing>
      </w:r>
    </w:p>
    <w:p w:rsidR="00886785" w:rsidRDefault="00886785" w:rsidP="00886785">
      <w:pPr>
        <w:pStyle w:val="Descripcin"/>
        <w:jc w:val="both"/>
        <w:rPr>
          <w:b/>
          <w:bCs/>
        </w:rPr>
      </w:pPr>
      <w:r>
        <w:t xml:space="preserve">Ilustración </w:t>
      </w:r>
      <w:r>
        <w:fldChar w:fldCharType="begin"/>
      </w:r>
      <w:r>
        <w:instrText xml:space="preserve"> SEQ Ilustración \* ARABIC </w:instrText>
      </w:r>
      <w:r>
        <w:fldChar w:fldCharType="separate"/>
      </w:r>
      <w:r>
        <w:rPr>
          <w:noProof/>
        </w:rPr>
        <w:t>3</w:t>
      </w:r>
      <w:r>
        <w:fldChar w:fldCharType="end"/>
      </w:r>
      <w:r>
        <w:t>. Diagrama de componentes Nuevo Core Bancario</w:t>
      </w:r>
    </w:p>
    <w:p w:rsidR="007F2CFE" w:rsidRDefault="00423D8A" w:rsidP="007F2CFE">
      <w:pPr>
        <w:jc w:val="both"/>
      </w:pPr>
      <w:r>
        <w:t xml:space="preserve">El diagrama de componentes (ver </w:t>
      </w:r>
      <w:r w:rsidR="00AD1156">
        <w:t>Ilustración</w:t>
      </w:r>
      <w:r>
        <w:t xml:space="preserve"> 3) </w:t>
      </w:r>
      <w:r w:rsidR="00AD1156">
        <w:t>indica</w:t>
      </w:r>
      <w:r>
        <w:t xml:space="preserve"> los módulos principales y sus interacciones. El </w:t>
      </w:r>
      <w:r>
        <w:rPr>
          <w:rStyle w:val="Textoennegrita"/>
        </w:rPr>
        <w:t>Módulo de Gestión de Cuentas</w:t>
      </w:r>
      <w:r>
        <w:t xml:space="preserve"> se encarga de la apertura, cierre y mantenimiento de cuentas bancarias, gestionando distintos tipos de cuentas como ahorros, corrientes e inversiones. Actualiza información de cuentas y balances, y está desarrollado en Java con Spring </w:t>
      </w:r>
      <w:proofErr w:type="spellStart"/>
      <w:r>
        <w:t>Boot</w:t>
      </w:r>
      <w:proofErr w:type="spellEnd"/>
      <w:r>
        <w:t xml:space="preserve">, utilizando una base de datos Oracle. Este módulo interactúa con el </w:t>
      </w:r>
      <w:r>
        <w:rPr>
          <w:rStyle w:val="Textoennegrita"/>
        </w:rPr>
        <w:t>Módulo de Transacciones</w:t>
      </w:r>
      <w:r>
        <w:t xml:space="preserve"> para validar y actualizar saldos, se comunica con el </w:t>
      </w:r>
      <w:r>
        <w:rPr>
          <w:rStyle w:val="Textoennegrita"/>
        </w:rPr>
        <w:t>Módulo de Gestión de Clientes</w:t>
      </w:r>
      <w:r>
        <w:t xml:space="preserve"> </w:t>
      </w:r>
      <w:r>
        <w:lastRenderedPageBreak/>
        <w:t xml:space="preserve">para asociar cuentas a clientes y proporciona datos al </w:t>
      </w:r>
      <w:r>
        <w:rPr>
          <w:rStyle w:val="Textoennegrita"/>
        </w:rPr>
        <w:t>Módulo de Reportes y Análisis</w:t>
      </w:r>
      <w:r>
        <w:t xml:space="preserve"> para la generación de informes financieros.</w:t>
      </w:r>
    </w:p>
    <w:p w:rsidR="00AD1156" w:rsidRPr="00AD1156" w:rsidRDefault="00AD1156" w:rsidP="00AD1156">
      <w:pPr>
        <w:jc w:val="both"/>
      </w:pPr>
      <w:r w:rsidRPr="00AD1156">
        <w:t xml:space="preserve">El </w:t>
      </w:r>
      <w:r w:rsidRPr="00AD1156">
        <w:rPr>
          <w:b/>
          <w:bCs/>
        </w:rPr>
        <w:t>Módulo de Gestión de Clientes</w:t>
      </w:r>
      <w:r w:rsidRPr="00AD1156">
        <w:t xml:space="preserve"> almacena y gestiona la información personal y financiera de los clientes, verificando identidades y actualizando datos. También desarrollado en Java con Spring </w:t>
      </w:r>
      <w:proofErr w:type="spellStart"/>
      <w:r w:rsidRPr="00AD1156">
        <w:t>Boot</w:t>
      </w:r>
      <w:proofErr w:type="spellEnd"/>
      <w:r w:rsidRPr="00AD1156">
        <w:t xml:space="preserve"> y Oracle, interactúa con el </w:t>
      </w:r>
      <w:r w:rsidRPr="00AD1156">
        <w:rPr>
          <w:b/>
          <w:bCs/>
        </w:rPr>
        <w:t>Módulo de Autenticación y Autorización</w:t>
      </w:r>
      <w:r w:rsidRPr="00AD1156">
        <w:t xml:space="preserve"> para gestionar credenciales y accesos, colabora con el </w:t>
      </w:r>
      <w:r w:rsidRPr="00AD1156">
        <w:rPr>
          <w:b/>
          <w:bCs/>
        </w:rPr>
        <w:t>Módulo de Gestión de Cuentas</w:t>
      </w:r>
      <w:r w:rsidRPr="00AD1156">
        <w:t xml:space="preserve"> en la asociación de cuentas a clientes y proporciona datos al </w:t>
      </w:r>
      <w:r w:rsidRPr="00AD1156">
        <w:rPr>
          <w:b/>
          <w:bCs/>
        </w:rPr>
        <w:t>Módulo de Préstamos</w:t>
      </w:r>
      <w:r w:rsidRPr="00AD1156">
        <w:t xml:space="preserve"> para evaluaciones crediticias.</w:t>
      </w:r>
    </w:p>
    <w:p w:rsidR="00AD1156" w:rsidRPr="00AD1156" w:rsidRDefault="00AD1156" w:rsidP="00AD1156">
      <w:pPr>
        <w:jc w:val="both"/>
      </w:pPr>
      <w:r w:rsidRPr="00AD1156">
        <w:t xml:space="preserve">El </w:t>
      </w:r>
      <w:r w:rsidRPr="00AD1156">
        <w:rPr>
          <w:b/>
          <w:bCs/>
        </w:rPr>
        <w:t>Módulo de Autenticación y Autorización</w:t>
      </w:r>
      <w:r w:rsidRPr="00AD1156">
        <w:t xml:space="preserve"> es esencial para controlar el acceso a todos los demás módulos, implementando protocolos como OAuth 2.0 y utilizando tokens JWT para garantizar que solo usuarios autenticados y autorizados puedan acceder a las funcionalidades del sistema. Soporta autenticación </w:t>
      </w:r>
      <w:proofErr w:type="spellStart"/>
      <w:r w:rsidRPr="00AD1156">
        <w:t>multifactor</w:t>
      </w:r>
      <w:proofErr w:type="spellEnd"/>
      <w:r w:rsidRPr="00AD1156">
        <w:t xml:space="preserve"> y se integra con servicios de autenticación externos para mayor seguridad.</w:t>
      </w:r>
    </w:p>
    <w:p w:rsidR="00AD1156" w:rsidRDefault="00AD1156" w:rsidP="00AD1156">
      <w:pPr>
        <w:jc w:val="both"/>
      </w:pPr>
      <w:r w:rsidRPr="00AD1156">
        <w:t xml:space="preserve">El </w:t>
      </w:r>
      <w:r w:rsidRPr="00AD1156">
        <w:rPr>
          <w:b/>
          <w:bCs/>
        </w:rPr>
        <w:t>Módulo de Transacciones</w:t>
      </w:r>
      <w:r w:rsidRPr="00AD1156">
        <w:t xml:space="preserve"> procesa depósitos, retiros y transferencias, validando fondos y límites, y registrando transacciones. Utiliza Apache Kafka para publicar eventos de transacciones que son consumidos por el </w:t>
      </w:r>
      <w:r w:rsidRPr="00AD1156">
        <w:rPr>
          <w:b/>
          <w:bCs/>
        </w:rPr>
        <w:t>Sistema de Prevención de Fraudes</w:t>
      </w:r>
      <w:r w:rsidRPr="00AD1156">
        <w:t xml:space="preserve">, permitiendo el análisis en tiempo real y la detección de actividades fraudulentas. </w:t>
      </w:r>
    </w:p>
    <w:p w:rsidR="00AD1156" w:rsidRPr="00AD1156" w:rsidRDefault="00AD1156" w:rsidP="00AD1156">
      <w:pPr>
        <w:jc w:val="both"/>
      </w:pPr>
      <w:r w:rsidRPr="00AD1156">
        <w:t xml:space="preserve">El </w:t>
      </w:r>
      <w:r w:rsidRPr="00AD1156">
        <w:rPr>
          <w:b/>
          <w:bCs/>
        </w:rPr>
        <w:t>Módulo de Préstamos</w:t>
      </w:r>
      <w:r w:rsidRPr="00AD1156">
        <w:t xml:space="preserve"> gestiona solicitudes y aprobaciones de préstamos, evaluando el riesgo crediticio en colaboración con el </w:t>
      </w:r>
      <w:r w:rsidRPr="00AD1156">
        <w:rPr>
          <w:b/>
          <w:bCs/>
        </w:rPr>
        <w:t>Sistema de Gestión de Riesgos</w:t>
      </w:r>
      <w:r w:rsidRPr="00AD1156">
        <w:t xml:space="preserve">. Gestiona desembolsos y cobros a través del </w:t>
      </w:r>
      <w:r w:rsidRPr="00AD1156">
        <w:rPr>
          <w:b/>
          <w:bCs/>
        </w:rPr>
        <w:t>Módulo de Gestión de Cuentas</w:t>
      </w:r>
      <w:r w:rsidRPr="00AD1156">
        <w:t xml:space="preserve"> y proporciona información al </w:t>
      </w:r>
      <w:r w:rsidRPr="00AD1156">
        <w:rPr>
          <w:b/>
          <w:bCs/>
        </w:rPr>
        <w:t>Módulo de Reportes y Análisis</w:t>
      </w:r>
      <w:r w:rsidRPr="00AD1156">
        <w:t xml:space="preserve"> sobre la cartera de préstamos.</w:t>
      </w:r>
    </w:p>
    <w:p w:rsidR="00AD1156" w:rsidRPr="00AD1156" w:rsidRDefault="00AD1156" w:rsidP="00AD1156">
      <w:pPr>
        <w:jc w:val="both"/>
      </w:pPr>
      <w:r w:rsidRPr="00AD1156">
        <w:t xml:space="preserve">El </w:t>
      </w:r>
      <w:r w:rsidRPr="00AD1156">
        <w:rPr>
          <w:b/>
          <w:bCs/>
        </w:rPr>
        <w:t>Módulo de Reportes y Análisis</w:t>
      </w:r>
      <w:r w:rsidRPr="00AD1156">
        <w:t xml:space="preserve"> genera informes operativos, financieros y regulatorios, recopilando datos de todos los módulos internos. Utiliza herramientas como </w:t>
      </w:r>
      <w:proofErr w:type="spellStart"/>
      <w:r w:rsidRPr="00AD1156">
        <w:t>JasperReports</w:t>
      </w:r>
      <w:proofErr w:type="spellEnd"/>
      <w:r w:rsidRPr="00AD1156">
        <w:t xml:space="preserve"> y Pentaho, y se integra con sistemas de Business </w:t>
      </w:r>
      <w:proofErr w:type="spellStart"/>
      <w:r w:rsidRPr="00AD1156">
        <w:t>Intelligence</w:t>
      </w:r>
      <w:proofErr w:type="spellEnd"/>
      <w:r w:rsidRPr="00AD1156">
        <w:t xml:space="preserve"> para apoyar la toma de decisiones estratégicas.</w:t>
      </w:r>
    </w:p>
    <w:p w:rsidR="00AD1156" w:rsidRPr="00AD1156" w:rsidRDefault="00AD1156" w:rsidP="00AD1156">
      <w:pPr>
        <w:jc w:val="both"/>
      </w:pPr>
      <w:r w:rsidRPr="00AD1156">
        <w:t xml:space="preserve">El </w:t>
      </w:r>
      <w:r w:rsidRPr="00AD1156">
        <w:rPr>
          <w:b/>
          <w:bCs/>
        </w:rPr>
        <w:t>Módulo de Integración</w:t>
      </w:r>
      <w:r w:rsidRPr="00AD1156">
        <w:t xml:space="preserve"> gestiona la comunicación con sistemas externos y legados, exponiendo </w:t>
      </w:r>
      <w:proofErr w:type="spellStart"/>
      <w:r w:rsidRPr="00AD1156">
        <w:t>APIs</w:t>
      </w:r>
      <w:proofErr w:type="spellEnd"/>
      <w:r w:rsidRPr="00AD1156">
        <w:t xml:space="preserve"> para terceros y socios comerciales. Utiliza </w:t>
      </w:r>
      <w:proofErr w:type="spellStart"/>
      <w:r w:rsidRPr="00AD1156">
        <w:t>RESTful</w:t>
      </w:r>
      <w:proofErr w:type="spellEnd"/>
      <w:r w:rsidRPr="00AD1156">
        <w:t xml:space="preserve"> </w:t>
      </w:r>
      <w:proofErr w:type="spellStart"/>
      <w:r w:rsidRPr="00AD1156">
        <w:t>APIs</w:t>
      </w:r>
      <w:proofErr w:type="spellEnd"/>
      <w:r w:rsidRPr="00AD1156">
        <w:t xml:space="preserve">, SOAP y mensajería con Apache Kafka, facilitando la integración con el Bus de Servicios Empresarial (ESB) y permitiendo a </w:t>
      </w:r>
      <w:proofErr w:type="spellStart"/>
      <w:r w:rsidRPr="00AD1156">
        <w:t>fintechs</w:t>
      </w:r>
      <w:proofErr w:type="spellEnd"/>
      <w:r w:rsidRPr="00AD1156">
        <w:t xml:space="preserve"> y </w:t>
      </w:r>
      <w:proofErr w:type="spellStart"/>
      <w:r w:rsidRPr="00AD1156">
        <w:t>partners</w:t>
      </w:r>
      <w:proofErr w:type="spellEnd"/>
      <w:r w:rsidRPr="00AD1156">
        <w:t xml:space="preserve"> acceder a servicios del banco.</w:t>
      </w:r>
    </w:p>
    <w:p w:rsidR="00AD1156" w:rsidRPr="00AD1156" w:rsidRDefault="00AD1156" w:rsidP="00AD1156">
      <w:pPr>
        <w:jc w:val="both"/>
      </w:pPr>
      <w:bookmarkStart w:id="0" w:name="_GoBack"/>
      <w:bookmarkEnd w:id="0"/>
    </w:p>
    <w:p w:rsidR="00AD1156" w:rsidRPr="0060502E" w:rsidRDefault="00AD1156" w:rsidP="007F2CFE">
      <w:pPr>
        <w:jc w:val="both"/>
      </w:pPr>
    </w:p>
    <w:p w:rsidR="007F2CFE" w:rsidRDefault="007F2CFE" w:rsidP="0060502E">
      <w:pPr>
        <w:jc w:val="both"/>
      </w:pPr>
    </w:p>
    <w:p w:rsidR="004E54B5" w:rsidRDefault="004E54B5" w:rsidP="0060502E">
      <w:pPr>
        <w:jc w:val="both"/>
      </w:pPr>
    </w:p>
    <w:p w:rsidR="004E54B5" w:rsidRPr="0060502E" w:rsidRDefault="004E54B5" w:rsidP="0060502E">
      <w:pPr>
        <w:jc w:val="both"/>
      </w:pPr>
    </w:p>
    <w:p w:rsidR="0060502E" w:rsidRPr="00817243" w:rsidRDefault="0060502E" w:rsidP="0060502E">
      <w:pPr>
        <w:jc w:val="both"/>
      </w:pPr>
    </w:p>
    <w:p w:rsidR="00B074C6" w:rsidRDefault="00B074C6" w:rsidP="00817243">
      <w:pPr>
        <w:jc w:val="both"/>
      </w:pPr>
    </w:p>
    <w:sectPr w:rsidR="00B074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654BC"/>
    <w:multiLevelType w:val="multilevel"/>
    <w:tmpl w:val="0D42D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1450C1"/>
    <w:multiLevelType w:val="multilevel"/>
    <w:tmpl w:val="64A2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76617D"/>
    <w:multiLevelType w:val="multilevel"/>
    <w:tmpl w:val="6BB20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29466A"/>
    <w:multiLevelType w:val="multilevel"/>
    <w:tmpl w:val="1654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501E6E"/>
    <w:multiLevelType w:val="multilevel"/>
    <w:tmpl w:val="2E58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243"/>
    <w:rsid w:val="00076326"/>
    <w:rsid w:val="00423D8A"/>
    <w:rsid w:val="004E54B5"/>
    <w:rsid w:val="0060502E"/>
    <w:rsid w:val="007F2CFE"/>
    <w:rsid w:val="00817243"/>
    <w:rsid w:val="00886785"/>
    <w:rsid w:val="00A40627"/>
    <w:rsid w:val="00A46B73"/>
    <w:rsid w:val="00A76A04"/>
    <w:rsid w:val="00AD1156"/>
    <w:rsid w:val="00B0067A"/>
    <w:rsid w:val="00B074C6"/>
    <w:rsid w:val="00C941E0"/>
    <w:rsid w:val="00DC0978"/>
    <w:rsid w:val="00F550B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D5E57"/>
  <w15:chartTrackingRefBased/>
  <w15:docId w15:val="{1C0AB22A-0D35-479C-A939-6ED81ED08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A76A04"/>
    <w:pPr>
      <w:spacing w:after="200" w:line="240" w:lineRule="auto"/>
    </w:pPr>
    <w:rPr>
      <w:i/>
      <w:iCs/>
      <w:color w:val="44546A" w:themeColor="text2"/>
      <w:sz w:val="18"/>
      <w:szCs w:val="18"/>
    </w:rPr>
  </w:style>
  <w:style w:type="character" w:styleId="Textoennegrita">
    <w:name w:val="Strong"/>
    <w:basedOn w:val="Fuentedeprrafopredeter"/>
    <w:uiPriority w:val="22"/>
    <w:qFormat/>
    <w:rsid w:val="00423D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83726">
      <w:bodyDiv w:val="1"/>
      <w:marLeft w:val="0"/>
      <w:marRight w:val="0"/>
      <w:marTop w:val="0"/>
      <w:marBottom w:val="0"/>
      <w:divBdr>
        <w:top w:val="none" w:sz="0" w:space="0" w:color="auto"/>
        <w:left w:val="none" w:sz="0" w:space="0" w:color="auto"/>
        <w:bottom w:val="none" w:sz="0" w:space="0" w:color="auto"/>
        <w:right w:val="none" w:sz="0" w:space="0" w:color="auto"/>
      </w:divBdr>
    </w:div>
    <w:div w:id="123352411">
      <w:bodyDiv w:val="1"/>
      <w:marLeft w:val="0"/>
      <w:marRight w:val="0"/>
      <w:marTop w:val="0"/>
      <w:marBottom w:val="0"/>
      <w:divBdr>
        <w:top w:val="none" w:sz="0" w:space="0" w:color="auto"/>
        <w:left w:val="none" w:sz="0" w:space="0" w:color="auto"/>
        <w:bottom w:val="none" w:sz="0" w:space="0" w:color="auto"/>
        <w:right w:val="none" w:sz="0" w:space="0" w:color="auto"/>
      </w:divBdr>
    </w:div>
    <w:div w:id="416753659">
      <w:bodyDiv w:val="1"/>
      <w:marLeft w:val="0"/>
      <w:marRight w:val="0"/>
      <w:marTop w:val="0"/>
      <w:marBottom w:val="0"/>
      <w:divBdr>
        <w:top w:val="none" w:sz="0" w:space="0" w:color="auto"/>
        <w:left w:val="none" w:sz="0" w:space="0" w:color="auto"/>
        <w:bottom w:val="none" w:sz="0" w:space="0" w:color="auto"/>
        <w:right w:val="none" w:sz="0" w:space="0" w:color="auto"/>
      </w:divBdr>
    </w:div>
    <w:div w:id="810051887">
      <w:bodyDiv w:val="1"/>
      <w:marLeft w:val="0"/>
      <w:marRight w:val="0"/>
      <w:marTop w:val="0"/>
      <w:marBottom w:val="0"/>
      <w:divBdr>
        <w:top w:val="none" w:sz="0" w:space="0" w:color="auto"/>
        <w:left w:val="none" w:sz="0" w:space="0" w:color="auto"/>
        <w:bottom w:val="none" w:sz="0" w:space="0" w:color="auto"/>
        <w:right w:val="none" w:sz="0" w:space="0" w:color="auto"/>
      </w:divBdr>
    </w:div>
    <w:div w:id="864904053">
      <w:bodyDiv w:val="1"/>
      <w:marLeft w:val="0"/>
      <w:marRight w:val="0"/>
      <w:marTop w:val="0"/>
      <w:marBottom w:val="0"/>
      <w:divBdr>
        <w:top w:val="none" w:sz="0" w:space="0" w:color="auto"/>
        <w:left w:val="none" w:sz="0" w:space="0" w:color="auto"/>
        <w:bottom w:val="none" w:sz="0" w:space="0" w:color="auto"/>
        <w:right w:val="none" w:sz="0" w:space="0" w:color="auto"/>
      </w:divBdr>
    </w:div>
    <w:div w:id="1326738478">
      <w:bodyDiv w:val="1"/>
      <w:marLeft w:val="0"/>
      <w:marRight w:val="0"/>
      <w:marTop w:val="0"/>
      <w:marBottom w:val="0"/>
      <w:divBdr>
        <w:top w:val="none" w:sz="0" w:space="0" w:color="auto"/>
        <w:left w:val="none" w:sz="0" w:space="0" w:color="auto"/>
        <w:bottom w:val="none" w:sz="0" w:space="0" w:color="auto"/>
        <w:right w:val="none" w:sz="0" w:space="0" w:color="auto"/>
      </w:divBdr>
    </w:div>
    <w:div w:id="1390884271">
      <w:bodyDiv w:val="1"/>
      <w:marLeft w:val="0"/>
      <w:marRight w:val="0"/>
      <w:marTop w:val="0"/>
      <w:marBottom w:val="0"/>
      <w:divBdr>
        <w:top w:val="none" w:sz="0" w:space="0" w:color="auto"/>
        <w:left w:val="none" w:sz="0" w:space="0" w:color="auto"/>
        <w:bottom w:val="none" w:sz="0" w:space="0" w:color="auto"/>
        <w:right w:val="none" w:sz="0" w:space="0" w:color="auto"/>
      </w:divBdr>
    </w:div>
    <w:div w:id="146612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1C938-6353-4151-8539-C54F384FF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1515</TotalTime>
  <Pages>7</Pages>
  <Words>1626</Words>
  <Characters>8947</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David Tamayo Romo</dc:creator>
  <cp:keywords/>
  <dc:description/>
  <cp:lastModifiedBy>Franklin David Tamayo Romo</cp:lastModifiedBy>
  <cp:revision>6</cp:revision>
  <dcterms:created xsi:type="dcterms:W3CDTF">2024-11-07T14:06:00Z</dcterms:created>
  <dcterms:modified xsi:type="dcterms:W3CDTF">2024-11-08T16:00:00Z</dcterms:modified>
</cp:coreProperties>
</file>