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2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Page"/>
      </w:pPr>
      <w:r>
        <w:drawing>
          <wp:inline>
            <wp:extent cx="1187999" cy="117252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gures/ug-logo.jpe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999" cy="1172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The Effect of Skill Granularity on Mastery Estimation in Adaptive Learning Systems</w:t>
      </w:r>
    </w:p>
    <w:p>
      <w:pPr>
        <w:pStyle w:val="TitlePage"/>
      </w:pPr>
      <w:r>
        <w:t xml:space="preserve">Concept Paper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Author: Davit Tchintcharashvili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This is proved by the Bachelor Thesis Committee of the School of IT, Engineering and Mathematics of the University of</w:t>
      </w:r>
      <w:r>
        <w:t xml:space="preserve"> </w:t>
      </w:r>
      <w:r>
        <w:t xml:space="preserve">Georgia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Supervisor:</w:t>
      </w:r>
    </w:p>
    <w:p>
      <w:pPr>
        <w:pStyle w:val="TitlePage"/>
      </w:pPr>
      <w:r>
        <w:t xml:space="preserve">Mikheil Gigauri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26 October 2026</w:t>
      </w:r>
    </w:p>
    <w:p>
      <w:r>
        <w:br w:type="page"/>
      </w:r>
    </w:p>
    <w:bookmarkStart w:id="23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Every adaptive practice system decides, after each answer, whether a student has mastered a skill, and every method</w:t>
      </w:r>
      <w:r>
        <w:t xml:space="preserve"> </w:t>
      </w:r>
      <w:r>
        <w:t xml:space="preserve">that makes that decision takes the skill as given. Yet what counts as one skill is a choice: fractions can be one skill</w:t>
      </w:r>
      <w:r>
        <w:t xml:space="preserve"> </w:t>
      </w:r>
      <w:r>
        <w:t xml:space="preserve">in a curriculum or sixteen ideas a student may have or lack separately. This thesis asks how the grain at which skills</w:t>
      </w:r>
      <w:r>
        <w:t xml:space="preserve"> </w:t>
      </w:r>
      <w:r>
        <w:t xml:space="preserve">are defined, the number of knowledge components a topic is divided into and which of them each question needs,</w:t>
      </w:r>
      <w:r>
        <w:t xml:space="preserve"> </w:t>
      </w:r>
      <w:r>
        <w:t xml:space="preserve">affects the accuracy and reliability of mastery estimation. Three methods are compared: Bayesian Knowledge Tracing</w:t>
      </w:r>
      <w:r>
        <w:t xml:space="preserve"> </w:t>
      </w:r>
      <w:r>
        <w:t xml:space="preserve">(BKT), the exponential moving average (EMA) of a student’s answers, and the rule</w:t>
      </w:r>
      <w:r>
        <w:t xml:space="preserve"> </w:t>
      </w:r>
      <w:r>
        <w:t xml:space="preserve">“N right in a row”</w:t>
      </w:r>
      <w:r>
        <w:t xml:space="preserve">. The comparison is</w:t>
      </w:r>
      <w:r>
        <w:t xml:space="preserve"> </w:t>
      </w:r>
      <w:r>
        <w:t xml:space="preserve">made first at one grain and then across grains. At one grain, BKT and the EMA are tested on how well they predict the</w:t>
      </w:r>
      <w:r>
        <w:t xml:space="preserve"> </w:t>
      </w:r>
      <w:r>
        <w:t xml:space="preserve">answers of held-out students in the public ASSISTments 2009–2010 data set, and all three methods are tested on how</w:t>
      </w:r>
      <w:r>
        <w:t xml:space="preserve"> </w:t>
      </w:r>
      <w:r>
        <w:t xml:space="preserve">soon their declarations of mastery become trustworthy for simulated students whose true state is known. Across grains,</w:t>
      </w:r>
      <w:r>
        <w:t xml:space="preserve"> </w:t>
      </w:r>
      <w:r>
        <w:t xml:space="preserve">simulated learners whose skills are made of a known number of components are modelled too coarsely, at the right grain</w:t>
      </w:r>
      <w:r>
        <w:t xml:space="preserve"> </w:t>
      </w:r>
      <w:r>
        <w:t xml:space="preserve">and too finely, and the same real answers from ASSISTments are modelled at three grains. Two hypotheses are</w:t>
      </w:r>
      <w:r>
        <w:t xml:space="preserve"> </w:t>
      </w:r>
      <w:r>
        <w:t xml:space="preserve">confirmatory, with the test and the smallest difference that counts fixed in advance; the rest are estimates with</w:t>
      </w:r>
      <w:r>
        <w:t xml:space="preserve"> </w:t>
      </w:r>
      <w:r>
        <w:t xml:space="preserve">intervals. The expected outcome is a statement of the conditions under which each grain is usable and of what each</w:t>
      </w:r>
      <w:r>
        <w:t xml:space="preserve"> </w:t>
      </w:r>
      <w:r>
        <w:t xml:space="preserve">method loses when the grain is wrong, together with a recommendation for Zeno, the mathematics practice system the</w:t>
      </w:r>
      <w:r>
        <w:t xml:space="preserve"> </w:t>
      </w:r>
      <w:r>
        <w:t xml:space="preserve">work grew out of, on which rule should decide mastery and at what grain.</w:t>
      </w:r>
    </w:p>
    <w:p>
      <w:r>
        <w:br w:type="page"/>
      </w:r>
    </w:p>
    <w:bookmarkEnd w:id="23"/>
    <w:bookmarkStart w:id="24" w:name="რეზიუმე"/>
    <w:p>
      <w:pPr>
        <w:pStyle w:val="Heading1"/>
      </w:pPr>
      <w:r>
        <w:t xml:space="preserve">რეზიუმე</w:t>
      </w:r>
    </w:p>
    <w:p>
      <w:pPr>
        <w:pStyle w:val="FirstParagraph"/>
      </w:pPr>
      <w:r>
        <w:t xml:space="preserve">ყოველი ადაპტური სავარჯიშო სისტემა თითოეული პასუხის შემდეგ წყვეტს, აითვისა თუ არა მოსწავლემ უნარი, და ყოველი</w:t>
      </w:r>
      <w:r>
        <w:t xml:space="preserve"> </w:t>
      </w:r>
      <w:r>
        <w:t xml:space="preserve">მეთოდი, რომელიც ამ გადაწყვეტილებას იღებს, უნარს მოცემულად თვლის. თუმცა ის, თუ რა ითვლება ერთ უნარად, არჩევანის</w:t>
      </w:r>
      <w:r>
        <w:t xml:space="preserve"> </w:t>
      </w:r>
      <w:r>
        <w:t xml:space="preserve">საკითხია: წილადები შეიძლება იყოს სასწავლო გეგმის ერთი უნარი ან თექვსმეტი იდეა, რომელთაგან თითოეული მოსწავლეს</w:t>
      </w:r>
      <w:r>
        <w:t xml:space="preserve"> </w:t>
      </w:r>
      <w:r>
        <w:t xml:space="preserve">შეიძლება ცალკე ჰქონდეს ან აკლდეს. ეს ნაშრომი იკვლევს, როგორ მოქმედებს უნარების განსაზღვრის მარცვლოვანება, ანუ</w:t>
      </w:r>
      <w:r>
        <w:t xml:space="preserve"> </w:t>
      </w:r>
      <w:r>
        <w:t xml:space="preserve">რამდენ ცოდნის კომპონენტად იყოფა თემა და რომელი კომპონენტები სჭირდება თითოეულ კითხვას, ათვისების შეფასების</w:t>
      </w:r>
      <w:r>
        <w:t xml:space="preserve"> </w:t>
      </w:r>
      <w:r>
        <w:t xml:space="preserve">სიზუსტესა და საიმედოობაზე. შედარებულია სამი მეთოდი: ბაიესური ცოდნის მიდევნება (BKT), მოსწავლის პასუხების</w:t>
      </w:r>
      <w:r>
        <w:t xml:space="preserve"> </w:t>
      </w:r>
      <w:r>
        <w:t xml:space="preserve">ექსპონენციალური მოძრავი საშუალო (EMA) და წესი „N სწორი პასუხი ზედიზედ“. შედარება ჯერ ერთ მარცვალზე ხდება, შემდეგ</w:t>
      </w:r>
      <w:r>
        <w:t xml:space="preserve"> </w:t>
      </w:r>
      <w:r>
        <w:t xml:space="preserve">კი სხვადასხვა მარცვალზე. ერთ მარცვალზე BKT და მოძრავი საშუალო მოწმდება იმაზე, რამდენად კარგად წინასწარმეტყველებს</w:t>
      </w:r>
      <w:r>
        <w:t xml:space="preserve"> </w:t>
      </w:r>
      <w:r>
        <w:t xml:space="preserve">გამოყოფილი მოსწავლეების პასუხებს საჯარო მონაცემთა ბაზაში ASSISTments 2009–2010, ხოლო სამივე მეთოდი მოწმდება</w:t>
      </w:r>
      <w:r>
        <w:t xml:space="preserve"> </w:t>
      </w:r>
      <w:r>
        <w:t xml:space="preserve">იმაზე, რამდენად მალე ხდება მათი ათვისების გადაწყვეტილებები სანდო სიმულირებული მოსწავლეებისთვის, რომელთა ნამდვილი</w:t>
      </w:r>
      <w:r>
        <w:t xml:space="preserve"> </w:t>
      </w:r>
      <w:r>
        <w:t xml:space="preserve">მდგომარეობა ცნობილია. სხვადასხვა მარცვალზე სიმულირებული მოსწავლეები, რომელთა უნარები ცნობილი რაოდენობის</w:t>
      </w:r>
      <w:r>
        <w:t xml:space="preserve"> </w:t>
      </w:r>
      <w:r>
        <w:t xml:space="preserve">კომპონენტისგან შედგება, მოდელირდება ზედმეტად მსხვილად, სწორ მარცვალზე და ზედმეტად წვრილად, ხოლო ASSISTments-ის</w:t>
      </w:r>
      <w:r>
        <w:t xml:space="preserve"> </w:t>
      </w:r>
      <w:r>
        <w:t xml:space="preserve">ერთი და იგივე რეალური პასუხები მოდელირდება სამ მარცვალზე. ორი ჰიპოთეზა დამადასტურებელია, ტესტითა და უმცირესი</w:t>
      </w:r>
      <w:r>
        <w:t xml:space="preserve"> </w:t>
      </w:r>
      <w:r>
        <w:t xml:space="preserve">მნიშვნელოვანი სხვაობით, რომლებიც წინასწარაა განსაზღვრული; დანარჩენი შედეგები ინტერვალებიანი შეფასებებია.</w:t>
      </w:r>
      <w:r>
        <w:t xml:space="preserve"> </w:t>
      </w:r>
      <w:r>
        <w:t xml:space="preserve">მოსალოდნელი შედეგია იმ პირობების დადგენა, რომლებშიც თითოეული მარცვალი გამოსადეგია, და იმისა, რას კარგავს თითოეული</w:t>
      </w:r>
      <w:r>
        <w:t xml:space="preserve"> </w:t>
      </w:r>
      <w:r>
        <w:t xml:space="preserve">მეთოდი, როცა მარცვალი არასწორია, ასევე რეკომენდაცია ზენოსთვის, მათემატიკის სავარჯიშო სისტემისთვის, რომლისგანაც ეს</w:t>
      </w:r>
      <w:r>
        <w:t xml:space="preserve"> </w:t>
      </w:r>
      <w:r>
        <w:t xml:space="preserve">ნაშრომი წარმოიშვა: რომელმა წესმა უნდა გადაწყვიტოს ათვისება და რომელ მარცვალზე.</w:t>
      </w:r>
    </w:p>
    <w:p>
      <w:r>
        <w:br w:type="page"/>
      </w:r>
    </w:p>
    <w:p>
      <w:pPr>
        <w:pStyle w:val="TOCHeading"/>
      </w:pPr>
      <w:r>
        <w:t>Contents</w:t>
      </w:r>
    </w:p>
    <w:p>
      <w:pPr>
        <w:pStyle w:val="TOC1"/>
      </w:pPr>
      <w:r>
        <w:fldChar w:fldCharType="begin"/>
      </w:r>
      <w:r>
        <w:instrText xml:space="preserve"> TOC \o "1-1" \u </w:instrText>
      </w:r>
      <w:r>
        <w:fldChar w:fldCharType="separate"/>
      </w:r>
      <w:r>
        <w:t xml:space="preserve">Introduction</w:t>
      </w:r>
      <w:r>
        <w:tab/>
      </w:r>
      <w:r>
        <w:t>5</w:t>
      </w:r>
    </w:p>
    <w:p>
      <w:pPr>
        <w:pStyle w:val="TOC1"/>
      </w:pPr>
      <w:r>
        <w:t xml:space="preserve">1 Background and related work</w:t>
      </w:r>
      <w:r>
        <w:tab/>
      </w:r>
      <w:r>
        <w:t>7</w:t>
      </w:r>
    </w:p>
    <w:p>
      <w:pPr>
        <w:pStyle w:val="TOC1"/>
      </w:pPr>
      <w:r>
        <w:t xml:space="preserve">2 Planned method</w:t>
      </w:r>
      <w:r>
        <w:tab/>
      </w:r>
      <w:r>
        <w:t>9</w:t>
      </w:r>
    </w:p>
    <w:p>
      <w:pPr>
        <w:pStyle w:val="TOC1"/>
      </w:pPr>
      <w:r>
        <w:t xml:space="preserve">3 Expected contribution, scope and limitations</w:t>
      </w:r>
      <w:r>
        <w:tab/>
      </w:r>
      <w:r>
        <w:t>11</w:t>
      </w:r>
    </w:p>
    <w:p>
      <w:pPr>
        <w:pStyle w:val="TOC1"/>
      </w:pPr>
      <w:r>
        <w:t xml:space="preserve">4 Work plan and current status</w:t>
      </w:r>
      <w:r>
        <w:tab/>
      </w:r>
      <w:r>
        <w:t>12</w:t>
      </w:r>
    </w:p>
    <w:p>
      <w:pPr>
        <w:pStyle w:val="TOC1"/>
      </w:pPr>
      <w:r>
        <w:t xml:space="preserve">References</w:t>
      </w:r>
      <w:r>
        <w:tab/>
      </w:r>
      <w:r>
        <w:t>13</w:t>
      </w:r>
      <w:r>
        <w:fldChar w:fldCharType="end"/>
      </w:r>
    </w:p>
    <w:p>
      <w:r>
        <w:br w:type="page"/>
      </w:r>
    </w:p>
    <w:bookmarkEnd w:id="24"/>
    <w:bookmarkStart w:id="27" w:name="introduction"/>
    <w:p>
      <w:pPr>
        <w:pStyle w:val="Heading1"/>
      </w:pPr>
      <w:r>
        <w:t xml:space="preserve">Introduction</w:t>
      </w:r>
    </w:p>
    <w:bookmarkStart w:id="25" w:name="the-problem-and-its-relevance"/>
    <w:p>
      <w:pPr>
        <w:pStyle w:val="Heading2"/>
      </w:pPr>
      <w:r>
        <w:t xml:space="preserve">The problem and its relevance</w:t>
      </w:r>
    </w:p>
    <w:p>
      <w:pPr>
        <w:pStyle w:val="FirstParagraph"/>
      </w:pPr>
      <w:r>
        <w:t xml:space="preserve">Practice is where most mathematics is learnt, and a practice system has to decide, again and again, when a student</w:t>
      </w:r>
      <w:r>
        <w:t xml:space="preserve"> </w:t>
      </w:r>
      <w:r>
        <w:t xml:space="preserve">has practised a skill enough to move on. Mastery learning, the idea that a student should master one unit before the</w:t>
      </w:r>
      <w:r>
        <w:t xml:space="preserve"> </w:t>
      </w:r>
      <w:r>
        <w:t xml:space="preserve">next one builds on it, depends on that decision</w:t>
      </w:r>
      <w:r>
        <w:t xml:space="preserve"> </w:t>
      </w:r>
      <w:r>
        <w:t xml:space="preserve">(</w:t>
      </w:r>
      <w:hyperlink w:anchor="ref-bloom1984">
        <w:r>
          <w:rPr>
            <w:rStyle w:val="Hyperlink"/>
          </w:rPr>
          <w:t xml:space="preserve">Bloom, 1984</w:t>
        </w:r>
      </w:hyperlink>
      <w:r>
        <w:t xml:space="preserve">)</w:t>
      </w:r>
      <w:r>
        <w:t xml:space="preserve">. Stop too early and the student moves on to work that</w:t>
      </w:r>
      <w:r>
        <w:t xml:space="preserve"> </w:t>
      </w:r>
      <w:r>
        <w:t xml:space="preserve">needs a skill they do not yet have. Stop too late and the student keeps answering questions they could already</w:t>
      </w:r>
      <w:r>
        <w:t xml:space="preserve"> </w:t>
      </w:r>
      <w:r>
        <w:t xml:space="preserve">answer, time that could have gone to the next skill.</w:t>
      </w:r>
    </w:p>
    <w:p>
      <w:pPr>
        <w:pStyle w:val="BodyText"/>
      </w:pPr>
      <w:r>
        <w:t xml:space="preserve">Two kinds of rule make this decision in practice. Some widely used systems apply a simple rule based on recent</w:t>
      </w:r>
      <w:r>
        <w:t xml:space="preserve"> </w:t>
      </w:r>
      <w:r>
        <w:t xml:space="preserve">answers. The ASSISTments skill builders, for example, ended a problem set when a student had answered three problems</w:t>
      </w:r>
      <w:r>
        <w:t xml:space="preserve"> </w:t>
      </w:r>
      <w:r>
        <w:t xml:space="preserve">in a row right</w:t>
      </w:r>
      <w:r>
        <w:t xml:space="preserve"> </w:t>
      </w:r>
      <w:r>
        <w:t xml:space="preserve">(</w:t>
      </w:r>
      <w:hyperlink w:anchor="ref-assistments2010data">
        <w:r>
          <w:rPr>
            <w:rStyle w:val="Hyperlink"/>
          </w:rPr>
          <w:t xml:space="preserve">ASSISTments, n.d.</w:t>
        </w:r>
      </w:hyperlink>
      <w:r>
        <w:t xml:space="preserve">)</w:t>
      </w:r>
      <w:r>
        <w:t xml:space="preserve">, and Khan Academy tracks each skill through mastery levels that a student climbs</w:t>
      </w:r>
      <w:r>
        <w:t xml:space="preserve"> </w:t>
      </w:r>
      <w:r>
        <w:t xml:space="preserve">by answering correctly</w:t>
      </w:r>
      <w:r>
        <w:t xml:space="preserve"> </w:t>
      </w:r>
      <w:r>
        <w:t xml:space="preserve">(</w:t>
      </w:r>
      <w:hyperlink w:anchor="ref-khanmastery">
        <w:r>
          <w:rPr>
            <w:rStyle w:val="Hyperlink"/>
          </w:rPr>
          <w:t xml:space="preserve">Khan Academy, n.d.</w:t>
        </w:r>
      </w:hyperlink>
      <w:r>
        <w:t xml:space="preserve">)</w:t>
      </w:r>
      <w:r>
        <w:t xml:space="preserve">. Much of the research literature uses a statistical model of the student. In</w:t>
      </w:r>
      <w:r>
        <w:t xml:space="preserve"> </w:t>
      </w:r>
      <w:r>
        <w:t xml:space="preserve">Bayesian Knowledge Tracing (BKT)</w:t>
      </w:r>
      <w:r>
        <w:t xml:space="preserve"> </w:t>
      </w:r>
      <w:r>
        <w:t xml:space="preserve">(</w:t>
      </w:r>
      <w:hyperlink w:anchor="ref-corbett1994">
        <w:r>
          <w:rPr>
            <w:rStyle w:val="Hyperlink"/>
          </w:rPr>
          <w:t xml:space="preserve">Corbett &amp; Anderson, 1994</w:t>
        </w:r>
      </w:hyperlink>
      <w:r>
        <w:t xml:space="preserve">)</w:t>
      </w:r>
      <w:r>
        <w:t xml:space="preserve"> </w:t>
      </w:r>
      <w:r>
        <w:t xml:space="preserve">a skill is either known or not, the model keeps the probability that the</w:t>
      </w:r>
      <w:r>
        <w:t xml:space="preserve"> </w:t>
      </w:r>
      <w:r>
        <w:t xml:space="preserve">student knows it, and it allows for a student who guesses right without knowing the skill and for one who slips while</w:t>
      </w:r>
      <w:r>
        <w:t xml:space="preserve"> </w:t>
      </w:r>
      <w:r>
        <w:t xml:space="preserve">knowing it. The Cognitive Tutors declared a skill mastered when that probability reached 0.95</w:t>
      </w:r>
      <w:r>
        <w:t xml:space="preserve"> </w:t>
      </w:r>
      <w:r>
        <w:t xml:space="preserve">(</w:t>
      </w:r>
      <w:hyperlink w:anchor="ref-corbett1994">
        <w:r>
          <w:rPr>
            <w:rStyle w:val="Hyperlink"/>
          </w:rPr>
          <w:t xml:space="preserve">Corbett &amp; Anderson, 1994</w:t>
        </w:r>
      </w:hyperlink>
      <w:r>
        <w:t xml:space="preserve">)</w:t>
      </w:r>
      <w:r>
        <w:t xml:space="preserve">.</w:t>
      </w:r>
    </w:p>
    <w:p>
      <w:pPr>
        <w:pStyle w:val="BodyText"/>
      </w:pPr>
      <w:r>
        <w:t xml:space="preserve">Every one of these rules takes the skill as given. Yet what counts as one skill is a choice.</w:t>
      </w:r>
      <w:r>
        <w:t xml:space="preserve"> </w:t>
      </w:r>
      <w:r>
        <w:t xml:space="preserve">“Fractions”</w:t>
      </w:r>
      <w:r>
        <w:t xml:space="preserve"> </w:t>
      </w:r>
      <w:r>
        <w:t xml:space="preserve">can be one</w:t>
      </w:r>
      <w:r>
        <w:t xml:space="preserve"> </w:t>
      </w:r>
      <w:r>
        <w:t xml:space="preserve">skill in a curriculum, or it can be sixteen ideas, from the times tables through equivalent fractions and a common</w:t>
      </w:r>
      <w:r>
        <w:t xml:space="preserve"> </w:t>
      </w:r>
      <w:r>
        <w:t xml:space="preserve">denominator to the conversion of a mixed number, each of which a student may or may not have. The person who writes</w:t>
      </w:r>
      <w:r>
        <w:t xml:space="preserve"> </w:t>
      </w:r>
      <w:r>
        <w:t xml:space="preserve">the curriculum, or who tags the problems in a data set, decides the grain at which skills are defined, and the model</w:t>
      </w:r>
      <w:r>
        <w:t xml:space="preserve"> </w:t>
      </w:r>
      <w:r>
        <w:t xml:space="preserve">inherits that decision. BKT in particular assumes that a skill is learnt all at once, in one step from not knowing to</w:t>
      </w:r>
      <w:r>
        <w:t xml:space="preserve"> </w:t>
      </w:r>
      <w:r>
        <w:t xml:space="preserve">knowing. If the modelled skill is really several such steps, the model’s picture is wrong before any parameter is</w:t>
      </w:r>
      <w:r>
        <w:t xml:space="preserve"> </w:t>
      </w:r>
      <w:r>
        <w:t xml:space="preserve">fitted; if the modelled skills are finer than anything the questions can tell apart, each of them has too little</w:t>
      </w:r>
      <w:r>
        <w:t xml:space="preserve"> </w:t>
      </w:r>
      <w:r>
        <w:t xml:space="preserve">evidence to go on. Whether the grain at which skills are defined changes the decisions a practice system makes, and</w:t>
      </w:r>
      <w:r>
        <w:t xml:space="preserve"> </w:t>
      </w:r>
      <w:r>
        <w:t xml:space="preserve">how, is the question this thesis asks.</w:t>
      </w:r>
    </w:p>
    <w:p>
      <w:pPr>
        <w:pStyle w:val="BodyText"/>
      </w:pPr>
      <w:r>
        <w:t xml:space="preserve">The question matters in particular to Zeno, the system this thesis grew out of. Zeno is a self-hosted mathematics</w:t>
      </w:r>
      <w:r>
        <w:t xml:space="preserve"> </w:t>
      </w:r>
      <w:r>
        <w:t xml:space="preserve">whiteboard for Georgian classrooms with a practice engine built in. It already chooses each student’s next question</w:t>
      </w:r>
      <w:r>
        <w:t xml:space="preserve"> </w:t>
      </w:r>
      <w:r>
        <w:t xml:space="preserve">from a learner model, keeps a state for every skill and, on three skills, for each of the ideas inside them, and</w:t>
      </w:r>
      <w:r>
        <w:t xml:space="preserve"> </w:t>
      </w:r>
      <w:r>
        <w:t xml:space="preserve">decides which skills a student has mastered and can leave behind. Its present mastery rule was set by judgement, not</w:t>
      </w:r>
      <w:r>
        <w:t xml:space="preserve"> </w:t>
      </w:r>
      <w:r>
        <w:t xml:space="preserve">measured. Before choosing how Zeno should make that decision, it is worth knowing both which rule decides best and at</w:t>
      </w:r>
      <w:r>
        <w:t xml:space="preserve"> </w:t>
      </w:r>
      <w:r>
        <w:t xml:space="preserve">what grain the rule should be applied.</w:t>
      </w:r>
    </w:p>
    <w:bookmarkEnd w:id="25"/>
    <w:bookmarkStart w:id="26" w:name="aim-research-question-and-hypotheses"/>
    <w:p>
      <w:pPr>
        <w:pStyle w:val="Heading2"/>
      </w:pPr>
      <w:r>
        <w:t xml:space="preserve">Aim, research question and hypotheses</w:t>
      </w:r>
    </w:p>
    <w:p>
      <w:pPr>
        <w:pStyle w:val="FirstParagraph"/>
      </w:pPr>
      <w:r>
        <w:t xml:space="preserve">The aim of the thesis is to find out how the grain at which skills are defined affects the accuracy and the</w:t>
      </w:r>
      <w:r>
        <w:t xml:space="preserve"> </w:t>
      </w:r>
      <w:r>
        <w:t xml:space="preserve">reliability of mastery estimation, using evidence that does not require a classroom. The research question is:</w:t>
      </w:r>
    </w:p>
    <w:p>
      <w:pPr>
        <w:pStyle w:val="BlockText"/>
      </w:pPr>
      <w:r>
        <w:t xml:space="preserve">How does the level of skill granularity affect the accuracy and reliability of mastery estimation in adaptive</w:t>
      </w:r>
      <w:r>
        <w:t xml:space="preserve"> </w:t>
      </w:r>
      <w:r>
        <w:t xml:space="preserve">learning systems?</w:t>
      </w:r>
    </w:p>
    <w:p>
      <w:pPr>
        <w:pStyle w:val="FirstParagraph"/>
      </w:pPr>
      <w:r>
        <w:t xml:space="preserve">Three terms in the question need fixing. The grain, or granularity, is the number of knowledge components a topic is</w:t>
      </w:r>
      <w:r>
        <w:t xml:space="preserve"> </w:t>
      </w:r>
      <w:r>
        <w:t xml:space="preserve">divided into for modelling, together with the mapping that says which components each question needs, which the</w:t>
      </w:r>
      <w:r>
        <w:t xml:space="preserve"> </w:t>
      </w:r>
      <w:r>
        <w:t xml:space="preserve">literature calls a Q-matrix</w:t>
      </w:r>
      <w:r>
        <w:t xml:space="preserve"> </w:t>
      </w:r>
      <w:r>
        <w:t xml:space="preserve">(</w:t>
      </w:r>
      <w:hyperlink w:anchor="ref-tatsuoka1983rulespace">
        <w:r>
          <w:rPr>
            <w:rStyle w:val="Hyperlink"/>
          </w:rPr>
          <w:t xml:space="preserve">Tatsuoka, 1983</w:t>
        </w:r>
      </w:hyperlink>
      <w:r>
        <w:t xml:space="preserve">)</w:t>
      </w:r>
      <w:r>
        <w:t xml:space="preserve">. Accuracy of mastery estimation is the share of a method’s</w:t>
      </w:r>
      <w:r>
        <w:t xml:space="preserve"> </w:t>
      </w:r>
      <w:r>
        <w:t xml:space="preserve">declarations of mastery that are right where the truth is known, which only simulation provides, and the quality of</w:t>
      </w:r>
      <w:r>
        <w:t xml:space="preserve"> </w:t>
      </w:r>
      <w:r>
        <w:t xml:space="preserve">its predictions of the next answer where it is not, which real data provide. Reliability is whether a method’s</w:t>
      </w:r>
      <w:r>
        <w:t xml:space="preserve"> </w:t>
      </w:r>
      <w:r>
        <w:t xml:space="preserve">probability means what it says, which is its calibration; whether the threshold the method needs stays put from one</w:t>
      </w:r>
      <w:r>
        <w:t xml:space="preserve"> </w:t>
      </w:r>
      <w:r>
        <w:t xml:space="preserve">setting to another; and whether its decisions survive a change of grain.</w:t>
      </w:r>
    </w:p>
    <w:p>
      <w:pPr>
        <w:pStyle w:val="BodyText"/>
      </w:pPr>
      <w:r>
        <w:t xml:space="preserve">The question is answered in two parts. The first compares the three methods at one grain, the grain the data or the</w:t>
      </w:r>
      <w:r>
        <w:t xml:space="preserve"> </w:t>
      </w:r>
      <w:r>
        <w:t xml:space="preserve">simulation gives, and is the foundation for the second: it shows whether the choice of method matters at all, and it</w:t>
      </w:r>
      <w:r>
        <w:t xml:space="preserve"> </w:t>
      </w:r>
      <w:r>
        <w:t xml:space="preserve">supplies the yardstick the second part uses, the precision of a method’s declarations against a known truth at the</w:t>
      </w:r>
      <w:r>
        <w:t xml:space="preserve"> </w:t>
      </w:r>
      <w:r>
        <w:t xml:space="preserve">cheapest threshold that meets a standard fixed in advance. The second part changes the grain and watches what the</w:t>
      </w:r>
      <w:r>
        <w:t xml:space="preserve"> </w:t>
      </w:r>
      <w:r>
        <w:t xml:space="preserve">same methods do. The model’s grain can stand in three relations to the grain at which students learn: it can be too</w:t>
      </w:r>
      <w:r>
        <w:t xml:space="preserve"> </w:t>
      </w:r>
      <w:r>
        <w:t xml:space="preserve">coarse, when one modelled skill is several things a student learns separately; right, when each modelled component is</w:t>
      </w:r>
      <w:r>
        <w:t xml:space="preserve"> </w:t>
      </w:r>
      <w:r>
        <w:t xml:space="preserve">one thing learnt; or too fine, when one thing learnt is modelled as several components, or when the components are more</w:t>
      </w:r>
      <w:r>
        <w:t xml:space="preserve"> </w:t>
      </w:r>
      <w:r>
        <w:t xml:space="preserve">than the practice can support. Table 1 lists the hypotheses of both parts.</w:t>
      </w:r>
    </w:p>
    <w:p>
      <w:pPr>
        <w:pStyle w:val="TableCaption"/>
      </w:pPr>
      <w:r>
        <w:t xml:space="preserve">The hypotheses of the thesis, the evidence each rests on and the kind of claim each makes.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he hypotheses of the thesis, the evidence each rests on and the kind of claim each makes."/>
      </w:tblPr>
      <w:tblGrid>
        <w:gridCol w:w="1320"/>
        <w:gridCol w:w="3394"/>
        <w:gridCol w:w="1508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BKT predicts held-out students’ next answers better than the EMA, by log-loss</w:t>
            </w:r>
          </w:p>
        </w:tc>
        <w:tc>
          <w:tcPr/>
          <w:p>
            <w:pPr>
              <w:pStyle w:val="Compact"/>
            </w:pPr>
            <w:r>
              <w:t xml:space="preserve">ASSISTments</w:t>
            </w:r>
          </w:p>
        </w:tc>
        <w:tc>
          <w:tcPr/>
          <w:p>
            <w:pPr>
              <w:pStyle w:val="Compact"/>
            </w:pPr>
            <w:r>
              <w:t xml:space="preserve">Confirmatory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Where students do not learn as BKT assumes, BKT needs fewer answers than the EMA and the streak rule before its declarations are right nine times in ten</w:t>
            </w:r>
          </w:p>
        </w:tc>
        <w:tc>
          <w:tcPr/>
          <w:p>
            <w:pPr>
              <w:pStyle w:val="Compact"/>
            </w:pPr>
            <w: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t xml:space="preserve">Pre-specified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t xml:space="preserve">How often the three methods agree, and how students answer after each declares mastery</w:t>
            </w:r>
          </w:p>
        </w:tc>
        <w:tc>
          <w:tcPr/>
          <w:p>
            <w:pPr>
              <w:pStyle w:val="Compact"/>
            </w:pPr>
            <w:r>
              <w:t xml:space="preserve">ASSISTments</w:t>
            </w:r>
          </w:p>
        </w:tc>
        <w:tc>
          <w:tcPr/>
          <w:p>
            <w:pPr>
              <w:pStyle w:val="Compact"/>
            </w:pPr>
            <w:r>
              <w:t xml:space="preserve">Exploratory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Too coarse: when a skill is several components modelled as one, BKT loses precision and calibration, and the simpler rules lose less</w:t>
            </w:r>
          </w:p>
        </w:tc>
        <w:tc>
          <w:tcPr/>
          <w:p>
            <w:pPr>
              <w:pStyle w:val="Compact"/>
            </w:pPr>
            <w: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t xml:space="preserve">Pre-specified sweep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Right grain: BKT on each component restores precision and names the missing component, if and only if the questions tell the components apart</w:t>
            </w:r>
          </w:p>
        </w:tc>
        <w:tc>
          <w:tcPr/>
          <w:p>
            <w:pPr>
              <w:pStyle w:val="Compact"/>
            </w:pPr>
            <w: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t xml:space="preserve">Pre-specified sweep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Too fine: splitting what is learnt as one, or more components than the practice supports, costs answers for no gain in precision</w:t>
            </w:r>
          </w:p>
        </w:tc>
        <w:tc>
          <w:tcPr/>
          <w:p>
            <w:pPr>
              <w:pStyle w:val="Compact"/>
            </w:pPr>
            <w: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t xml:space="preserve">Pre-specified sweep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</w:t>
            </w:r>
          </w:p>
        </w:tc>
        <w:tc>
          <w:tcPr/>
          <w:p>
            <w:pPr>
              <w:pStyle w:val="Compact"/>
            </w:pPr>
            <w:r>
              <w:t xml:space="preserve">On the same real answers, BKT at the data set’s own skills predicts better than at five topics and at one skill</w:t>
            </w:r>
          </w:p>
        </w:tc>
        <w:tc>
          <w:tcPr/>
          <w:p>
            <w:pPr>
              <w:pStyle w:val="Compact"/>
            </w:pPr>
            <w:r>
              <w:t xml:space="preserve">ASSISTments</w:t>
            </w:r>
          </w:p>
        </w:tc>
        <w:tc>
          <w:tcPr/>
          <w:p>
            <w:pPr>
              <w:pStyle w:val="Compact"/>
            </w:pPr>
            <w:r>
              <w:t xml:space="preserve">Confirmatory</w:t>
            </w:r>
          </w:p>
        </w:tc>
      </w:tr>
    </w:tbl>
    <w:p>
      <w:pPr>
        <w:pStyle w:val="BodyText"/>
      </w:pPr>
      <w:r>
        <w:t xml:space="preserve">H1 and G4 are the two confirmatory tests. For both, the measure is the difference in mean log-loss per answer on the</w:t>
      </w:r>
      <w:r>
        <w:t xml:space="preserve"> </w:t>
      </w:r>
      <w:r>
        <w:t xml:space="preserve">same held-out answers, with a 95 % interval from a paired bootstrap over students, and the smallest difference that</w:t>
      </w:r>
      <w:r>
        <w:t xml:space="preserve"> </w:t>
      </w:r>
      <w:r>
        <w:t xml:space="preserve">counts is fixed in advance at 0.005 per answer, so that a difference too small to matter is not declared a win only</w:t>
      </w:r>
      <w:r>
        <w:t xml:space="preserve"> </w:t>
      </w:r>
      <w:r>
        <w:t xml:space="preserve">because the data set is large. The verdict follows a rule written down before any result: if the interval excludes</w:t>
      </w:r>
      <w:r>
        <w:t xml:space="preserve"> </w:t>
      </w:r>
      <w:r>
        <w:t xml:space="preserve">zero and the estimate is at least 0.005, the model with the lower log-loss is better; if the interval excludes zero</w:t>
      </w:r>
      <w:r>
        <w:t xml:space="preserve"> </w:t>
      </w:r>
      <w:r>
        <w:t xml:space="preserve">but the estimate is smaller, the difference is real but negligible; if the interval lies wholly within 0.005 of zero,</w:t>
      </w:r>
      <w:r>
        <w:t xml:space="preserve"> </w:t>
      </w:r>
      <w:r>
        <w:t xml:space="preserve">there is no practical difference; anything else is inconclusive. H2 and G1 to G3 are estimates with intervals, each</w:t>
      </w:r>
      <w:r>
        <w:t xml:space="preserve"> </w:t>
      </w:r>
      <w:r>
        <w:t xml:space="preserve">reported for every simulated world and learning rate separately and never pooled. H3 is exploratory because the</w:t>
      </w:r>
      <w:r>
        <w:t xml:space="preserve"> </w:t>
      </w:r>
      <w:r>
        <w:t xml:space="preserve">ASSISTments data were collected under the streak rule itself, so the data cannot show what would have happened had a</w:t>
      </w:r>
      <w:r>
        <w:t xml:space="preserve"> </w:t>
      </w:r>
      <w:r>
        <w:t xml:space="preserve">student been kept practising longer.</w:t>
      </w:r>
    </w:p>
    <w:bookmarkEnd w:id="26"/>
    <w:bookmarkEnd w:id="27"/>
    <w:bookmarkStart w:id="28" w:name="background-and-related-work"/>
    <w:p>
      <w:pPr>
        <w:pStyle w:val="Heading1"/>
      </w:pPr>
      <w:r>
        <w:t xml:space="preserve">1 Background and related work</w:t>
      </w:r>
    </w:p>
    <w:p>
      <w:pPr>
        <w:pStyle w:val="FirstParagraph"/>
      </w:pPr>
      <w:r>
        <w:t xml:space="preserve">Mastery learning holds that most students can reach a high level in a subject if each unit is learnt to a set standard</w:t>
      </w:r>
      <w:r>
        <w:t xml:space="preserve"> </w:t>
      </w:r>
      <w:r>
        <w:t xml:space="preserve">before the next one starts, and if the time each student spends varies to make that possible</w:t>
      </w:r>
      <w:r>
        <w:t xml:space="preserve"> </w:t>
      </w:r>
      <w:r>
        <w:t xml:space="preserve">(</w:t>
      </w:r>
      <w:hyperlink w:anchor="ref-bloom1984">
        <w:r>
          <w:rPr>
            <w:rStyle w:val="Hyperlink"/>
          </w:rPr>
          <w:t xml:space="preserve">Bloom, 1984</w:t>
        </w:r>
      </w:hyperlink>
      <w:r>
        <w:t xml:space="preserve">)</w:t>
      </w:r>
      <w:r>
        <w:t xml:space="preserve">. Reviews of</w:t>
      </w:r>
      <w:r>
        <w:t xml:space="preserve"> </w:t>
      </w:r>
      <w:r>
        <w:t xml:space="preserve">intelligent tutoring systems, many of which implement mastery learning, find that they raise test scores compared with</w:t>
      </w:r>
      <w:r>
        <w:t xml:space="preserve"> </w:t>
      </w:r>
      <w:r>
        <w:t xml:space="preserve">conventional teaching</w:t>
      </w:r>
      <w:r>
        <w:t xml:space="preserve"> </w:t>
      </w:r>
      <w:r>
        <w:t xml:space="preserve">(</w:t>
      </w:r>
      <w:hyperlink w:anchor="ref-kulik2016">
        <w:r>
          <w:rPr>
            <w:rStyle w:val="Hyperlink"/>
          </w:rPr>
          <w:t xml:space="preserve">Kulik &amp; Fletcher, 2016</w:t>
        </w:r>
      </w:hyperlink>
      <w:r>
        <w:t xml:space="preserve">)</w:t>
      </w:r>
      <w:r>
        <w:t xml:space="preserve"> </w:t>
      </w:r>
      <w:r>
        <w:t xml:space="preserve">and that step-based tutors come close to human tutors</w:t>
      </w:r>
      <w:r>
        <w:t xml:space="preserve"> </w:t>
      </w:r>
      <w:r>
        <w:t xml:space="preserve">(</w:t>
      </w:r>
      <w:hyperlink w:anchor="ref-vanlehn2011">
        <w:r>
          <w:rPr>
            <w:rStyle w:val="Hyperlink"/>
          </w:rPr>
          <w:t xml:space="preserve">VanLehn, 2011</w:t>
        </w:r>
      </w:hyperlink>
      <w:r>
        <w:t xml:space="preserve">)</w:t>
      </w:r>
      <w:r>
        <w:t xml:space="preserve">. A computer</w:t>
      </w:r>
      <w:r>
        <w:t xml:space="preserve"> </w:t>
      </w:r>
      <w:r>
        <w:t xml:space="preserve">system that implements mastery learning has to turn</w:t>
      </w:r>
      <w:r>
        <w:t xml:space="preserve"> </w:t>
      </w:r>
      <w:r>
        <w:t xml:space="preserve">“learnt to a set standard”</w:t>
      </w:r>
      <w:r>
        <w:t xml:space="preserve"> </w:t>
      </w:r>
      <w:r>
        <w:t xml:space="preserve">into a rule it can apply after every</w:t>
      </w:r>
      <w:r>
        <w:t xml:space="preserve"> </w:t>
      </w:r>
      <w:r>
        <w:t xml:space="preserve">answer, and every such rule trades the two errors of stopping too early and too late against each other, usually</w:t>
      </w:r>
      <w:r>
        <w:t xml:space="preserve"> </w:t>
      </w:r>
      <w:r>
        <w:t xml:space="preserve">through a threshold: a higher probability for BKT, a longer run for the streak rule.</w:t>
      </w:r>
    </w:p>
    <w:p>
      <w:pPr>
        <w:pStyle w:val="BodyText"/>
      </w:pPr>
      <w:r>
        <w:t xml:space="preserve">BKT is a hidden Markov model with two states and four parameters per skill: the chance that the skill is known before</w:t>
      </w:r>
      <w:r>
        <w:t xml:space="preserve"> </w:t>
      </w:r>
      <w:r>
        <w:t xml:space="preserve">any practice, the chance of learning it at each practice opportunity, the chance of a right answer by guessing and the</w:t>
      </w:r>
      <w:r>
        <w:t xml:space="preserve"> </w:t>
      </w:r>
      <w:r>
        <w:t xml:space="preserve">chance of a wrong answer by slipping</w:t>
      </w:r>
      <w:r>
        <w:t xml:space="preserve"> </w:t>
      </w:r>
      <w:r>
        <w:t xml:space="preserve">(</w:t>
      </w:r>
      <w:hyperlink w:anchor="ref-corbett1994">
        <w:r>
          <w:rPr>
            <w:rStyle w:val="Hyperlink"/>
          </w:rPr>
          <w:t xml:space="preserve">Corbett &amp; Anderson, 1994</w:t>
        </w:r>
      </w:hyperlink>
      <w:r>
        <w:t xml:space="preserve">)</w:t>
      </w:r>
      <w:r>
        <w:t xml:space="preserve">. After each answer the model updates its probability that the</w:t>
      </w:r>
      <w:r>
        <w:t xml:space="preserve"> </w:t>
      </w:r>
      <w:r>
        <w:t xml:space="preserve">student knows the skill by Bayes’ rule and then allows for learning from the question. It makes three assumptions that</w:t>
      </w:r>
      <w:r>
        <w:t xml:space="preserve"> </w:t>
      </w:r>
      <w:r>
        <w:t xml:space="preserve">matter here: learning happens in one step, nothing is forgotten, and all students share a skill’s parameters.</w:t>
      </w:r>
      <w:r>
        <w:t xml:space="preserve"> </w:t>
      </w:r>
      <w:r>
        <w:t xml:space="preserve">Extensions that relax them predict real answers about as well as much more complex models</w:t>
      </w:r>
      <w:r>
        <w:t xml:space="preserve"> </w:t>
      </w:r>
      <w:r>
        <w:t xml:space="preserve">(</w:t>
      </w:r>
      <w:hyperlink w:anchor="ref-khajah2016">
        <w:r>
          <w:rPr>
            <w:rStyle w:val="Hyperlink"/>
          </w:rPr>
          <w:t xml:space="preserve">Khajah et al., 2016</w:t>
        </w:r>
      </w:hyperlink>
      <w:r>
        <w:t xml:space="preserve">;</w:t>
      </w:r>
      <w:r>
        <w:t xml:space="preserve"> </w:t>
      </w:r>
      <w:hyperlink w:anchor="ref-yudelson2013">
        <w:r>
          <w:rPr>
            <w:rStyle w:val="Hyperlink"/>
          </w:rPr>
          <w:t xml:space="preserve">Yudelson et al., 2013</w:t>
        </w:r>
      </w:hyperlink>
      <w:r>
        <w:t xml:space="preserve">)</w:t>
      </w:r>
      <w:r>
        <w:t xml:space="preserve">,</w:t>
      </w:r>
      <w:r>
        <w:t xml:space="preserve"> </w:t>
      </w:r>
      <w:r>
        <w:t xml:space="preserve">but deployed systems use the standard model. Its fitted parameters are also not always identifiable: different values</w:t>
      </w:r>
      <w:r>
        <w:t xml:space="preserve"> </w:t>
      </w:r>
      <w:r>
        <w:t xml:space="preserve">can predict the observed answers equally well while implying different probabilities that the student knows the skill</w:t>
      </w:r>
      <w:r>
        <w:t xml:space="preserve"> </w:t>
      </w:r>
      <w:r>
        <w:t xml:space="preserve">(</w:t>
      </w:r>
      <w:hyperlink w:anchor="ref-beck2007identifiability">
        <w:r>
          <w:rPr>
            <w:rStyle w:val="Hyperlink"/>
          </w:rPr>
          <w:t xml:space="preserve">Beck &amp; Chang, 2007</w:t>
        </w:r>
      </w:hyperlink>
      <w:r>
        <w:t xml:space="preserve">)</w:t>
      </w:r>
      <w:r>
        <w:t xml:space="preserve">, and that matters directly for mastery decisions, which act on that probability. A question</w:t>
      </w:r>
      <w:r>
        <w:t xml:space="preserve"> </w:t>
      </w:r>
      <w:r>
        <w:t xml:space="preserve">that needs several skills is usually read conjunctively, as answered right, but for a slip, only when every skill it</w:t>
      </w:r>
      <w:r>
        <w:t xml:space="preserve"> </w:t>
      </w:r>
      <w:r>
        <w:t xml:space="preserve">needs is known</w:t>
      </w:r>
      <w:r>
        <w:t xml:space="preserve"> </w:t>
      </w:r>
      <w:r>
        <w:t xml:space="preserve">(</w:t>
      </w:r>
      <w:hyperlink w:anchor="ref-pardos2008composition">
        <w:r>
          <w:rPr>
            <w:rStyle w:val="Hyperlink"/>
          </w:rPr>
          <w:t xml:space="preserve">Pardos et al., 2008</w:t>
        </w:r>
      </w:hyperlink>
      <w:r>
        <w:t xml:space="preserve">)</w:t>
      </w:r>
      <w:r>
        <w:t xml:space="preserve">, and how the evidence of such a question is shared among its skills decides</w:t>
      </w:r>
      <w:r>
        <w:t xml:space="preserve"> </w:t>
      </w:r>
      <w:r>
        <w:t xml:space="preserve">how well each is traced</w:t>
      </w:r>
      <w:r>
        <w:t xml:space="preserve"> </w:t>
      </w:r>
      <w:r>
        <w:t xml:space="preserve">(</w:t>
      </w:r>
      <w:hyperlink w:anchor="ref-xu2012subskills">
        <w:r>
          <w:rPr>
            <w:rStyle w:val="Hyperlink"/>
          </w:rPr>
          <w:t xml:space="preserve">Xu &amp; Mostow, 2012</w:t>
        </w:r>
      </w:hyperlink>
      <w:r>
        <w:t xml:space="preserve">)</w:t>
      </w:r>
      <w:r>
        <w:t xml:space="preserve">.</w:t>
      </w:r>
    </w:p>
    <w:p>
      <w:pPr>
        <w:pStyle w:val="BodyText"/>
      </w:pPr>
      <w:r>
        <w:t xml:space="preserve">The simpler estimators weigh recent answers more than old ones. The streak rule declares mastery when the last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answers were all right; it needs no fitting and gives no probability. The exponential moving average keeps a score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between 0 and 1 that, after each answer</w:t>
      </w:r>
      <w:r>
        <w:t xml:space="preserve"> </w:t>
      </w:r>
      <m:oMath>
        <m:r>
          <m:t>c</m:t>
        </m:r>
      </m:oMath>
      <w:r>
        <w:t xml:space="preserve">, becomes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s</m:t>
        </m:r>
        <m:r>
          <m:rPr>
            <m:sty m:val="p"/>
          </m:rPr>
          <m:t>+</m:t>
        </m:r>
        <m:r>
          <m:t>α</m:t>
        </m:r>
        <m:r>
          <m:t>c</m:t>
        </m:r>
      </m:oMath>
      <w:r>
        <w:t xml:space="preserve">, so an answer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 back</w:t>
      </w:r>
      <w:r>
        <w:t xml:space="preserve"> </w:t>
      </w:r>
      <w:r>
        <w:t xml:space="preserve">carries weight proportional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The score can be read as the predicted chance of a right answer, so</w:t>
      </w:r>
      <w:r>
        <w:t xml:space="preserve"> </w:t>
      </w:r>
      <w:r>
        <w:t xml:space="preserve">the EMA can be judged as a predictor in the same way as BKT, and a mastery rule follows by declaring mastery when the</w:t>
      </w:r>
      <w:r>
        <w:t xml:space="preserve"> </w:t>
      </w:r>
      <w:r>
        <w:t xml:space="preserve">score reaches a threshold. Neither rule assumes anything about what a skill is. Mastery criteria have been compared</w:t>
      </w:r>
      <w:r>
        <w:t xml:space="preserve"> </w:t>
      </w:r>
      <w:r>
        <w:t xml:space="preserve">directly before:</w:t>
      </w:r>
      <w:r>
        <w:t xml:space="preserve"> </w:t>
      </w:r>
      <w:r>
        <w:t xml:space="preserve">Pelánek &amp; Řihák (</w:t>
      </w:r>
      <w:hyperlink w:anchor="ref-pelanek2017mastery">
        <w:r>
          <w:rPr>
            <w:rStyle w:val="Hyperlink"/>
          </w:rPr>
          <w:t xml:space="preserve">2017</w:t>
        </w:r>
      </w:hyperlink>
      <w:r>
        <w:t xml:space="preserve">)</w:t>
      </w:r>
      <w:r>
        <w:t xml:space="preserve"> </w:t>
      </w:r>
      <w:r>
        <w:t xml:space="preserve">analysed several criteria for a single, well-specified skill on simulated and real</w:t>
      </w:r>
      <w:r>
        <w:t xml:space="preserve"> </w:t>
      </w:r>
      <w:r>
        <w:t xml:space="preserve">data and found the choice of data and of threshold to matter more than the choice of learner model, and</w:t>
      </w:r>
      <w:r>
        <w:t xml:space="preserve"> </w:t>
      </w:r>
      <w:r>
        <w:t xml:space="preserve">Fancsali et al. (</w:t>
      </w:r>
      <w:hyperlink w:anchor="ref-fancsali2013mastery">
        <w:r>
          <w:rPr>
            <w:rStyle w:val="Hyperlink"/>
          </w:rPr>
          <w:t xml:space="preserve">2013</w:t>
        </w:r>
      </w:hyperlink>
      <w:r>
        <w:t xml:space="preserve">)</w:t>
      </w:r>
      <w:r>
        <w:t xml:space="preserve"> </w:t>
      </w:r>
      <w:r>
        <w:t xml:space="preserve">studied by simulation how BKT’s mastery assessment fares when its parameters differ from the ones</w:t>
      </w:r>
      <w:r>
        <w:t xml:space="preserve"> </w:t>
      </w:r>
      <w:r>
        <w:t xml:space="preserve">that generate the answers. Neither varied the grain of the skill.</w:t>
      </w:r>
    </w:p>
    <w:p>
      <w:pPr>
        <w:pStyle w:val="BodyText"/>
      </w:pPr>
      <w:r>
        <w:t xml:space="preserve">A knowledge component, in the framework of</w:t>
      </w:r>
      <w:r>
        <w:t xml:space="preserve"> </w:t>
      </w:r>
      <w:r>
        <w:t xml:space="preserve">Koedinger et al. (</w:t>
      </w:r>
      <w:hyperlink w:anchor="ref-koedinger2012kli">
        <w:r>
          <w:rPr>
            <w:rStyle w:val="Hyperlink"/>
          </w:rPr>
          <w:t xml:space="preserve">2012</w:t>
        </w:r>
      </w:hyperlink>
      <w:r>
        <w:t xml:space="preserve">)</w:t>
      </w:r>
      <w:r>
        <w:t xml:space="preserve">, is the unit a student learns, which may or may not be</w:t>
      </w:r>
      <w:r>
        <w:t xml:space="preserve"> </w:t>
      </w:r>
      <w:r>
        <w:t xml:space="preserve">the unit a curriculum names, and a skill model says which components each task needs. Finding the right grain has</w:t>
      </w:r>
      <w:r>
        <w:t xml:space="preserve"> </w:t>
      </w:r>
      <w:r>
        <w:t xml:space="preserve">been treated as a search: learning factors analysis splits or merges components and keeps a change when it fits the</w:t>
      </w:r>
      <w:r>
        <w:t xml:space="preserve"> </w:t>
      </w:r>
      <w:r>
        <w:t xml:space="preserve">students’ learning curves better</w:t>
      </w:r>
      <w:r>
        <w:t xml:space="preserve"> </w:t>
      </w:r>
      <w:r>
        <w:t xml:space="preserve">(</w:t>
      </w:r>
      <w:hyperlink w:anchor="ref-cen2006lfa">
        <w:r>
          <w:rPr>
            <w:rStyle w:val="Hyperlink"/>
          </w:rPr>
          <w:t xml:space="preserve">Cen et al., 2006</w:t>
        </w:r>
      </w:hyperlink>
      <w:r>
        <w:t xml:space="preserve">)</w:t>
      </w:r>
      <w:r>
        <w:t xml:space="preserve">. The effect of grain on prediction has been measured on the system this</w:t>
      </w:r>
      <w:r>
        <w:t xml:space="preserve"> </w:t>
      </w:r>
      <w:r>
        <w:t xml:space="preserve">thesis’s real data come from.</w:t>
      </w:r>
      <w:r>
        <w:t xml:space="preserve"> </w:t>
      </w:r>
      <w:r>
        <w:t xml:space="preserve">Pardos, Heffernan, et al. (</w:t>
      </w:r>
      <w:hyperlink w:anchor="ref-pardos2007granularity">
        <w:r>
          <w:rPr>
            <w:rStyle w:val="Hyperlink"/>
          </w:rPr>
          <w:t xml:space="preserve">2007</w:t>
        </w:r>
      </w:hyperlink>
      <w:r>
        <w:t xml:space="preserve">)</w:t>
      </w:r>
      <w:r>
        <w:t xml:space="preserve"> </w:t>
      </w:r>
      <w:r>
        <w:t xml:space="preserve">fitted models of ASSISTments students at 1, 5, 39 and 106 skills</w:t>
      </w:r>
      <w:r>
        <w:t xml:space="preserve"> </w:t>
      </w:r>
      <w:r>
        <w:t xml:space="preserve">and found the finer models predicted state test scores better, and</w:t>
      </w:r>
      <w:r>
        <w:t xml:space="preserve"> </w:t>
      </w:r>
      <w:r>
        <w:t xml:space="preserve">Pardos, Feng, et al. (</w:t>
      </w:r>
      <w:hyperlink w:anchor="ref-pardos2007finegrained">
        <w:r>
          <w:rPr>
            <w:rStyle w:val="Hyperlink"/>
          </w:rPr>
          <w:t xml:space="preserve">2007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Feng, Heffernan, Heffernan, et al. (</w:t>
      </w:r>
      <w:hyperlink w:anchor="ref-feng2009grainsize">
        <w:r>
          <w:rPr>
            <w:rStyle w:val="Hyperlink"/>
          </w:rPr>
          <w:t xml:space="preserve">2009</w:t>
        </w:r>
      </w:hyperlink>
      <w:r>
        <w:t xml:space="preserve">)</w:t>
      </w:r>
      <w:r>
        <w:t xml:space="preserve"> </w:t>
      </w:r>
      <w:r>
        <w:t xml:space="preserve">reached the same result with mixed-effects models. These studies compared grains for predicting an external score.</w:t>
      </w:r>
      <w:r>
        <w:t xml:space="preserve"> </w:t>
      </w:r>
      <w:r>
        <w:t xml:space="preserve">None measured mastery decisions against a known truth, which no real data set allows, because a real student’s state</w:t>
      </w:r>
      <w:r>
        <w:t xml:space="preserve"> </w:t>
      </w:r>
      <w:r>
        <w:t xml:space="preserve">is never observed. That is the gap the simulated part of this thesis fills.</w:t>
      </w:r>
    </w:p>
    <w:p>
      <w:pPr>
        <w:pStyle w:val="BodyText"/>
      </w:pPr>
      <w:r>
        <w:t xml:space="preserve">Student models that give probabilities are judged by how good those probabilities are</w:t>
      </w:r>
      <w:r>
        <w:t xml:space="preserve"> </w:t>
      </w:r>
      <w:r>
        <w:t xml:space="preserve">(</w:t>
      </w:r>
      <w:hyperlink w:anchor="ref-pelanek2015metrics">
        <w:r>
          <w:rPr>
            <w:rStyle w:val="Hyperlink"/>
          </w:rPr>
          <w:t xml:space="preserve">Pelánek, 2015</w:t>
        </w:r>
      </w:hyperlink>
      <w:r>
        <w:t xml:space="preserve">)</w:t>
      </w:r>
      <w:r>
        <w:t xml:space="preserve">. Log-loss,</w:t>
      </w:r>
      <w:r>
        <w:t xml:space="preserve"> </w:t>
      </w:r>
      <w:r>
        <w:t xml:space="preserve">the negative mean log-likelihood of the observed answers, punishes a confident wrong prediction most, which is the</w:t>
      </w:r>
      <w:r>
        <w:t xml:space="preserve"> </w:t>
      </w:r>
      <w:r>
        <w:t xml:space="preserve">error that makes a mastery decision wrong, so it is the primary measure here, with the root mean squared error, the</w:t>
      </w:r>
      <w:r>
        <w:t xml:space="preserve"> </w:t>
      </w:r>
      <w:r>
        <w:t xml:space="preserve">area under the ROC curve and calibration reported beside it. The fair test for a system that will meet new students</w:t>
      </w:r>
      <w:r>
        <w:t xml:space="preserve"> </w:t>
      </w:r>
      <w:r>
        <w:t xml:space="preserve">holds out whole students: the model is fitted on the rest and predicts each held-out student’s answers in order,</w:t>
      </w:r>
      <w:r>
        <w:t xml:space="preserve"> </w:t>
      </w:r>
      <w:r>
        <w:t xml:space="preserve">learning from each answer only after predicting it</w:t>
      </w:r>
      <w:r>
        <w:t xml:space="preserve"> </w:t>
      </w:r>
      <w:r>
        <w:t xml:space="preserve">(</w:t>
      </w:r>
      <w:hyperlink w:anchor="ref-pelanek2015metrics">
        <w:r>
          <w:rPr>
            <w:rStyle w:val="Hyperlink"/>
          </w:rPr>
          <w:t xml:space="preserve">Pelánek, 2015</w:t>
        </w:r>
      </w:hyperlink>
      <w:r>
        <w:t xml:space="preserve">)</w:t>
      </w:r>
      <w:r>
        <w:t xml:space="preserve">.</w:t>
      </w:r>
    </w:p>
    <w:bookmarkEnd w:id="28"/>
    <w:bookmarkStart w:id="29" w:name="planned-method"/>
    <w:p>
      <w:pPr>
        <w:pStyle w:val="Heading1"/>
      </w:pPr>
      <w:r>
        <w:t xml:space="preserve">2 Planned method</w:t>
      </w:r>
    </w:p>
    <w:p>
      <w:pPr>
        <w:pStyle w:val="FirstParagraph"/>
      </w:pPr>
      <w:r>
        <w:t xml:space="preserve">The three methods compared all read one student’s answers on one skill, in order, and after each answer say whether</w:t>
      </w:r>
      <w:r>
        <w:t xml:space="preserve"> </w:t>
      </w:r>
      <w:r>
        <w:t xml:space="preserve">the skill is now mastered; each declares mastery the first time its condition holds. BKT on the skill has four</w:t>
      </w:r>
      <w:r>
        <w:t xml:space="preserve"> </w:t>
      </w:r>
      <w:r>
        <w:t xml:space="preserve">parameters per skill, fitted on training students by a search over a grid with guess and slip bounded at 0.3, and</w:t>
      </w:r>
      <w:r>
        <w:t xml:space="preserve"> </w:t>
      </w:r>
      <w:r>
        <w:t xml:space="preserve">declares mastery when its probability reaches a threshold, usually 0.95. The EMA has one decay rate for all skills,</w:t>
      </w:r>
      <w:r>
        <w:t xml:space="preserve"> </w:t>
      </w:r>
      <w:r>
        <w:t xml:space="preserve">chosen on training students for the lowest log-loss, and a starting score set to the training students’ share of</w:t>
      </w:r>
      <w:r>
        <w:t xml:space="preserve"> </w:t>
      </w:r>
      <w:r>
        <w:t xml:space="preserve">right first answers; it declares mastery when its score reaches a threshold. The streak rule declares mastery after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right answers in a row,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as in the ASSISTments skill builders. Where the grain is finer than one skill,</w:t>
      </w:r>
      <w:r>
        <w:t xml:space="preserve"> </w:t>
      </w:r>
      <w:r>
        <w:t xml:space="preserve">BKT is also run on each component, reading every question conjunctively for the components it needs, and the skill is</w:t>
      </w:r>
      <w:r>
        <w:t xml:space="preserve"> </w:t>
      </w:r>
      <w:r>
        <w:t xml:space="preserve">declared mastered when every component’s probability has reached the threshold. Two further student models already in</w:t>
      </w:r>
      <w:r>
        <w:t xml:space="preserve"> </w:t>
      </w:r>
      <w:r>
        <w:t xml:space="preserve">Zeno’s evaluation code, the Elo rating and Performance Factors Analysis, are reported as reference rows only.</w:t>
      </w:r>
    </w:p>
    <w:p>
      <w:pPr>
        <w:pStyle w:val="BodyText"/>
      </w:pPr>
      <w:r>
        <w:t xml:space="preserve">Two results follow from the definitions alone and shape the design. The first shows exactly when the streak rule is a</w:t>
      </w:r>
      <w:r>
        <w:t xml:space="preserve"> </w:t>
      </w:r>
      <w:r>
        <w:t xml:space="preserve">special case of the EMA: an EMA with decay</w:t>
      </w:r>
      <w:r>
        <w:t xml:space="preserve"> </w:t>
      </w:r>
      <m:oMath>
        <m:r>
          <m:t>α</m:t>
        </m:r>
      </m:oMath>
      <w:r>
        <w:t xml:space="preserve">, threshold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starting score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makes the same</w:t>
      </w:r>
      <w:r>
        <w:t xml:space="preserve"> </w:t>
      </w:r>
      <w:r>
        <w:t xml:space="preserve">decisions as</w:t>
      </w:r>
      <w:r>
        <w:t xml:space="preserve"> </w:t>
      </w:r>
      <w:r>
        <w:t xml:space="preserve">“the last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answers were right”</w:t>
      </w:r>
      <w:r>
        <w:t xml:space="preserve"> </w:t>
      </w:r>
      <w:r>
        <w:t xml:space="preserve">on every sequence of answers if and only if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θ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low enough. The band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empty unless</w:t>
      </w:r>
      <w:r>
        <w:t xml:space="preserve"> </w:t>
      </w:r>
      <m:oMath>
        <m:r>
          <m:t>α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so only a fast-moving average behaves as a streak rule, and the streak rule is compared</w:t>
      </w:r>
      <w:r>
        <w:t xml:space="preserve"> </w:t>
      </w:r>
      <w:r>
        <w:t xml:space="preserve">as a method of its own. The second shows that when students learn exactly as BKT assumes and the model knows the true</w:t>
      </w:r>
      <w:r>
        <w:t xml:space="preserve"> </w:t>
      </w:r>
      <w:r>
        <w:t xml:space="preserve">parameters, BKT’s declarations at threshold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are right at least a share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the time. A comparison run</w:t>
      </w:r>
      <w:r>
        <w:t xml:space="preserve"> </w:t>
      </w:r>
      <w:r>
        <w:t xml:space="preserve">only in BKT’s own world would therefore favour BKT by construction, so that world is used only to measure what fitting</w:t>
      </w:r>
      <w:r>
        <w:t xml:space="preserve"> </w:t>
      </w:r>
      <w:r>
        <w:t xml:space="preserve">the parameters costs, and only worlds that break BKT’s assumptions test it. The same result says what a change of</w:t>
      </w:r>
      <w:r>
        <w:t xml:space="preserve"> </w:t>
      </w:r>
      <w:r>
        <w:t xml:space="preserve">grain does: a skill made of several components, each learnt in one step, is no longer a BKT process, so the guarantee</w:t>
      </w:r>
      <w:r>
        <w:t xml:space="preserve"> </w:t>
      </w:r>
      <w:r>
        <w:t xml:space="preserve">holds for BKT on each component and not for BKT on the skill.</w:t>
      </w:r>
    </w:p>
    <w:p>
      <w:pPr>
        <w:pStyle w:val="BodyText"/>
      </w:pPr>
      <w:r>
        <w:t xml:space="preserve">The real answers come from the corrected ASSISTments 2009–2010 skill builder data set</w:t>
      </w:r>
      <w:r>
        <w:t xml:space="preserve"> </w:t>
      </w:r>
      <w:r>
        <w:t xml:space="preserve">(</w:t>
      </w:r>
      <w:hyperlink w:anchor="ref-assistments2010data">
        <w:r>
          <w:rPr>
            <w:rStyle w:val="Hyperlink"/>
          </w:rPr>
          <w:t xml:space="preserve">ASSISTments, n.d.</w:t>
        </w:r>
      </w:hyperlink>
      <w:r>
        <w:t xml:space="preserve">)</w:t>
      </w:r>
      <w:r>
        <w:t xml:space="preserve">, logged</w:t>
      </w:r>
      <w:r>
        <w:t xml:space="preserve"> </w:t>
      </w:r>
      <w:r>
        <w:t xml:space="preserve">by the ASSISTments system</w:t>
      </w:r>
      <w:r>
        <w:t xml:space="preserve"> </w:t>
      </w:r>
      <w:r>
        <w:t xml:space="preserve">(</w:t>
      </w:r>
      <w:hyperlink w:anchor="ref-feng2009assistments">
        <w:r>
          <w:rPr>
            <w:rStyle w:val="Hyperlink"/>
          </w:rPr>
          <w:t xml:space="preserve">Feng, Heffernan, &amp; Koedinger, 2009</w:t>
        </w:r>
      </w:hyperlink>
      <w:r>
        <w:t xml:space="preserve">)</w:t>
      </w:r>
      <w:r>
        <w:t xml:space="preserve">: US middle-school students answering mathematics problems, with the</w:t>
      </w:r>
      <w:r>
        <w:t xml:space="preserve"> </w:t>
      </w:r>
      <w:r>
        <w:t xml:space="preserve">skill each problem practises and whether the first attempt was right. The cleaning keeps main problems only, not the</w:t>
      </w:r>
      <w:r>
        <w:t xml:space="preserve"> </w:t>
      </w:r>
      <w:r>
        <w:t xml:space="preserve">scaffolding questions a wrong answer opens, puts the answers in the order they were given and keeps each student’s</w:t>
      </w:r>
      <w:r>
        <w:t xml:space="preserve"> </w:t>
      </w:r>
      <w:r>
        <w:t xml:space="preserve">class. For G4 the same answers are modelled at three grains without new data: the data set’s own 110 skill tags, five</w:t>
      </w:r>
      <w:r>
        <w:t xml:space="preserve"> </w:t>
      </w:r>
      <w:r>
        <w:t xml:space="preserve">topic areas the skills fall into, and one skill for all of mathematics.</w:t>
      </w:r>
    </w:p>
    <w:p>
      <w:pPr>
        <w:pStyle w:val="BodyText"/>
      </w:pPr>
      <w:r>
        <w:t xml:space="preserve">The simulated students are of three kinds, and after every answer each records whether the student truly knows the</w:t>
      </w:r>
      <w:r>
        <w:t xml:space="preserve"> </w:t>
      </w:r>
      <w:r>
        <w:t xml:space="preserve">skill. In the one-grain worlds, 400 students practise 38 skills, 30 questions each, in one of four worlds: a BKT world</w:t>
      </w:r>
      <w:r>
        <w:t xml:space="preserve"> </w:t>
      </w:r>
      <w:r>
        <w:t xml:space="preserve">where a skill is known or not and is learnt in one step, the same with a small chance of forgetting, and two gradual</w:t>
      </w:r>
      <w:r>
        <w:t xml:space="preserve"> </w:t>
      </w:r>
      <w:r>
        <w:t xml:space="preserve">worlds where the chance of a right answer rises a little with each question, in which a skill counts as mastered when</w:t>
      </w:r>
      <w:r>
        <w:t xml:space="preserve"> </w:t>
      </w:r>
      <w:r>
        <w:t xml:space="preserve">the true chance of a right answer reaches 0.9. Each is run at two learning rates. In the world of components, which</w:t>
      </w:r>
      <w:r>
        <w:t xml:space="preserve"> </w:t>
      </w:r>
      <w:r>
        <w:t xml:space="preserve">serves G1 to G3, every skill is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components, each exactly what BKT assumes a skill to be, and a question asks for</w:t>
      </w:r>
      <w:r>
        <w:t xml:space="preserve"> </w:t>
      </w:r>
      <w:r>
        <w:t xml:space="preserve">one component or several; the model’s grain can then be set to one state for the skill, one per component, or several</w:t>
      </w:r>
      <w:r>
        <w:t xml:space="preserve"> </w:t>
      </w:r>
      <w:r>
        <w:t xml:space="preserve">per component, against the same answers and the same truth. In the world of ideas, the components are the sixteen</w:t>
      </w:r>
      <w:r>
        <w:t xml:space="preserve"> </w:t>
      </w:r>
      <w:r>
        <w:t xml:space="preserve">ideas of fractions and the whole-number arithmetic it rests on, decomposed by hand, and the questions are the ones</w:t>
      </w:r>
      <w:r>
        <w:t xml:space="preserve"> </w:t>
      </w:r>
      <w:r>
        <w:t xml:space="preserve">Zeno’s own generators ask, each read for the ideas it needs; a fractions operation needs seven to ten ideas at once,</w:t>
      </w:r>
      <w:r>
        <w:t xml:space="preserve"> </w:t>
      </w:r>
      <w:r>
        <w:t xml:space="preserve">while some forms ask for one idea alone. Every random choice is seeded, so every number can be reproduced.</w:t>
      </w:r>
    </w:p>
    <w:p>
      <w:pPr>
        <w:pStyle w:val="BodyText"/>
      </w:pPr>
      <w:r>
        <w:t xml:space="preserve">Every parameter and threshold is chosen on training students only, and a fifth of the students are held out by a hash</w:t>
      </w:r>
      <w:r>
        <w:t xml:space="preserve"> </w:t>
      </w:r>
      <w:r>
        <w:t xml:space="preserve">of their identifier, so no student’s answers are split between the two sides. For prediction, the models are fitted on</w:t>
      </w:r>
      <w:r>
        <w:t xml:space="preserve"> </w:t>
      </w:r>
      <w:r>
        <w:t xml:space="preserve">the training students and then predict every held-out answer in order. For mastery decisions where the truth is known,</w:t>
      </w:r>
      <w:r>
        <w:t xml:space="preserve"> </w:t>
      </w:r>
      <w:r>
        <w:t xml:space="preserve">three measures describe a rule: its precision, the share of its declarations made when the student truly knew the</w:t>
      </w:r>
      <w:r>
        <w:t xml:space="preserve"> </w:t>
      </w:r>
      <w:r>
        <w:t xml:space="preserve">skill; its cost, the mean number of answers until it declares; and the share of practices it never declares. For H2,</w:t>
      </w:r>
      <w:r>
        <w:t xml:space="preserve"> </w:t>
      </w:r>
      <w:r>
        <w:t xml:space="preserve">each method’s threshold is the cheapest one whose precision on the training students is at least 90 %, and the</w:t>
      </w:r>
      <w:r>
        <w:t xml:space="preserve"> </w:t>
      </w:r>
      <w:r>
        <w:t xml:space="preserve">methods are compared by their cost on the held-out students, with intervals from 2,000 bootstrap resamples. For G1 to</w:t>
      </w:r>
      <w:r>
        <w:t xml:space="preserve"> </w:t>
      </w:r>
      <w:r>
        <w:t xml:space="preserve">G3, each method is also judged at the threshold a deployed system would use without a truth to set it by, BKT at 0.95</w:t>
      </w:r>
      <w:r>
        <w:t xml:space="preserve"> </w:t>
      </w:r>
      <w:r>
        <w:t xml:space="preserve">and the streak rule at three, and its score is set against the truth after every answer to measure its calibration.</w:t>
      </w:r>
      <w:r>
        <w:t xml:space="preserve"> </w:t>
      </w:r>
      <w:r>
        <w:t xml:space="preserve">G2 adds whether the model names the idea a student lacks, at every moment a learner is exactly one idea short of</w:t>
      </w:r>
      <w:r>
        <w:t xml:space="preserve"> </w:t>
      </w:r>
      <w:r>
        <w:t xml:space="preserve">mastery, against the chance of one in the number of ideas. G3 adds the share of fitted parameter sets that are</w:t>
      </w:r>
      <w:r>
        <w:t xml:space="preserve"> </w:t>
      </w:r>
      <w:r>
        <w:t xml:space="preserve">degenerate, with guess or slip at their bound. The sweeps vary the number of components from 1 to 16, how many of</w:t>
      </w:r>
      <w:r>
        <w:t xml:space="preserve"> </w:t>
      </w:r>
      <w:r>
        <w:t xml:space="preserve">them a question needs, the share of questions that ask for one idea alone, and the length of the practice, from 30 to</w:t>
      </w:r>
      <w:r>
        <w:t xml:space="preserve"> </w:t>
      </w:r>
      <w:r>
        <w:t xml:space="preserve">120 questions.</w:t>
      </w:r>
    </w:p>
    <w:p>
      <w:pPr>
        <w:pStyle w:val="BodyText"/>
      </w:pPr>
      <w:r>
        <w:t xml:space="preserve">All of this runs in open, deterministic code inside the Zeno repository, written in TypeScript, with each hypothesis</w:t>
      </w:r>
      <w:r>
        <w:t xml:space="preserve"> </w:t>
      </w:r>
      <w:r>
        <w:t xml:space="preserve">behind one command, so that every number in the thesis can be reproduced. The hypotheses, their tests and the verdict</w:t>
      </w:r>
      <w:r>
        <w:t xml:space="preserve"> </w:t>
      </w:r>
      <w:r>
        <w:t xml:space="preserve">rules are recorded in the repository’s history before the results they concern, so the order in which they were fixed</w:t>
      </w:r>
      <w:r>
        <w:t xml:space="preserve"> </w:t>
      </w:r>
      <w:r>
        <w:t xml:space="preserve">can be checked by anyone.</w:t>
      </w:r>
    </w:p>
    <w:bookmarkEnd w:id="29"/>
    <w:bookmarkStart w:id="30" w:name="X6512888615cd7977e06b71a2d24999dea04892f"/>
    <w:p>
      <w:pPr>
        <w:pStyle w:val="Heading1"/>
      </w:pPr>
      <w:r>
        <w:t xml:space="preserve">3 Expected contribution, scope and limitations</w:t>
      </w:r>
    </w:p>
    <w:p>
      <w:pPr>
        <w:pStyle w:val="FirstParagraph"/>
      </w:pPr>
      <w:r>
        <w:t xml:space="preserve">The thesis does not propose a new model. BKT, moving averages and the conjunctive form of BKT are well known, mastery</w:t>
      </w:r>
      <w:r>
        <w:t xml:space="preserve"> </w:t>
      </w:r>
      <w:r>
        <w:t xml:space="preserve">criteria have been compared before, and the grain of a skill model has been studied for prediction. What it adds is a</w:t>
      </w:r>
      <w:r>
        <w:t xml:space="preserve"> </w:t>
      </w:r>
      <w:r>
        <w:t xml:space="preserve">measurement of what grain does to mastery decisions themselves, against a known truth, which only a simulation in which</w:t>
      </w:r>
      <w:r>
        <w:t xml:space="preserve"> </w:t>
      </w:r>
      <w:r>
        <w:t xml:space="preserve">both the learners’ grain and the model’s grain are under control makes possible; the same methods compared on real</w:t>
      </w:r>
      <w:r>
        <w:t xml:space="preserve"> </w:t>
      </w:r>
      <w:r>
        <w:t xml:space="preserve">answers at several grains, with one pre-specified test; and a practical answer for a real system. The expected outcome</w:t>
      </w:r>
      <w:r>
        <w:t xml:space="preserve"> </w:t>
      </w:r>
      <w:r>
        <w:t xml:space="preserve">is not an optimal grain in general, which the thesis does not claim exists, but the conditions under which each grain</w:t>
      </w:r>
      <w:r>
        <w:t xml:space="preserve"> </w:t>
      </w:r>
      <w:r>
        <w:t xml:space="preserve">is usable and what each method loses when the grain is wrong. For Zeno, the outcome is a recommendation of which rule</w:t>
      </w:r>
      <w:r>
        <w:t xml:space="preserve"> </w:t>
      </w:r>
      <w:r>
        <w:t xml:space="preserve">should decide mastery, at the grain of the skill or of the ideas inside it, and how its threshold should be set.</w:t>
      </w:r>
    </w:p>
    <w:p>
      <w:pPr>
        <w:pStyle w:val="BodyText"/>
      </w:pPr>
      <w:r>
        <w:t xml:space="preserve">The scope is set by what can be done without a classroom. An earlier plan asked whether choosing practice questions</w:t>
      </w:r>
      <w:r>
        <w:t xml:space="preserve"> </w:t>
      </w:r>
      <w:r>
        <w:t xml:space="preserve">with a learner model helps a class learn more than a fixed sequence, but that can only be answered in schools, with</w:t>
      </w:r>
      <w:r>
        <w:t xml:space="preserve"> </w:t>
      </w:r>
      <w:r>
        <w:t xml:space="preserve">ethics approval for children’s data and, as a power analysis showed, several classes; it is left as future work.</w:t>
      </w:r>
      <w:r>
        <w:t xml:space="preserve"> </w:t>
      </w:r>
      <w:r>
        <w:t xml:space="preserve">Every number here comes from a public, anonymised data set or from simulation.</w:t>
      </w:r>
    </w:p>
    <w:p>
      <w:pPr>
        <w:pStyle w:val="BodyText"/>
      </w:pPr>
      <w:r>
        <w:t xml:space="preserve">Three limitations are known in advance. First, the simulated worlds are of this thesis’s own making, so what they show</w:t>
      </w:r>
      <w:r>
        <w:t xml:space="preserve"> </w:t>
      </w:r>
      <w:r>
        <w:t xml:space="preserve">holds for the kinds of learning they build in; that is why each world breaks a stated assumption, and why results are</w:t>
      </w:r>
      <w:r>
        <w:t xml:space="preserve"> </w:t>
      </w:r>
      <w:r>
        <w:t xml:space="preserve">reported for every world separately rather than pooled. Second, the ASSISTments data were collected under the streak</w:t>
      </w:r>
      <w:r>
        <w:t xml:space="preserve"> </w:t>
      </w:r>
      <w:r>
        <w:t xml:space="preserve">rule, which ended practice after three right answers, so the data cannot show a student who would have been kept</w:t>
      </w:r>
      <w:r>
        <w:t xml:space="preserve"> </w:t>
      </w:r>
      <w:r>
        <w:t xml:space="preserve">practising longer, and H3 is exploratory for that reason. Third, answers within one class are related through a shared</w:t>
      </w:r>
      <w:r>
        <w:t xml:space="preserve"> </w:t>
      </w:r>
      <w:r>
        <w:t xml:space="preserve">teacher and lessons, so resampling students as if they were independent makes the intervals too narrow; the intervals</w:t>
      </w:r>
      <w:r>
        <w:t xml:space="preserve"> </w:t>
      </w:r>
      <w:r>
        <w:t xml:space="preserve">of H1 and G4 are therefore also computed by resampling whole classes, as a robustness check.</w:t>
      </w:r>
    </w:p>
    <w:bookmarkEnd w:id="30"/>
    <w:bookmarkStart w:id="31" w:name="work-plan-and-current-status"/>
    <w:p>
      <w:pPr>
        <w:pStyle w:val="Heading1"/>
      </w:pPr>
      <w:r>
        <w:t xml:space="preserve">4 Work plan and current status</w:t>
      </w:r>
    </w:p>
    <w:p>
      <w:pPr>
        <w:pStyle w:val="FirstParagraph"/>
      </w:pPr>
      <w:r>
        <w:t xml:space="preserve">The thesis follows the department’s three stages: this concept, which covers the introduction, research question,</w:t>
      </w:r>
      <w:r>
        <w:t xml:space="preserve"> </w:t>
      </w:r>
      <w:r>
        <w:t xml:space="preserve">hypotheses, background and planned method; a preliminary draft with the method in full and the simulation results; and</w:t>
      </w:r>
      <w:r>
        <w:t xml:space="preserve"> </w:t>
      </w:r>
      <w:r>
        <w:t xml:space="preserve">the final thesis with the real-data results, the discussion, the threats to validity, the conclusion and the abstracts</w:t>
      </w:r>
      <w:r>
        <w:t xml:space="preserve"> </w:t>
      </w:r>
      <w:r>
        <w:t xml:space="preserve">in both languages. The final thesis has three chapters after an unnumbered introduction: background and related work,</w:t>
      </w:r>
      <w:r>
        <w:t xml:space="preserve"> </w:t>
      </w:r>
      <w:r>
        <w:t xml:space="preserve">method, and results, discussion and conclusion.</w:t>
      </w:r>
    </w:p>
    <w:p>
      <w:pPr>
        <w:pStyle w:val="BodyText"/>
      </w:pPr>
      <w:r>
        <w:t xml:space="preserve">The work is further along than this stage requires. The title and research question were approved at the title</w:t>
      </w:r>
      <w:r>
        <w:t xml:space="preserve"> </w:t>
      </w:r>
      <w:r>
        <w:t xml:space="preserve">defence on 13 October 2026. The code for every method, simulated world and test is written, the analyses have been</w:t>
      </w:r>
      <w:r>
        <w:t xml:space="preserve"> </w:t>
      </w:r>
      <w:r>
        <w:t xml:space="preserve">run, and a full draft of the thesis exists. In first results, BKT predicts held-out ASSISTments answers better than the</w:t>
      </w:r>
      <w:r>
        <w:t xml:space="preserve"> </w:t>
      </w:r>
      <w:r>
        <w:t xml:space="preserve">EMA by 0.0225 in log-loss per answer, so H1 holds by the rule fixed in advance, and BKT at the data set’s 110 skills</w:t>
      </w:r>
      <w:r>
        <w:t xml:space="preserve"> </w:t>
      </w:r>
      <w:r>
        <w:t xml:space="preserve">predicts better than at one skill by 0.0346, so G4 holds. In simulation, a skill made of several components and</w:t>
      </w:r>
      <w:r>
        <w:t xml:space="preserve"> </w:t>
      </w:r>
      <w:r>
        <w:t xml:space="preserve">modelled as one makes BKT’s declarations at 0.95 right 98 % of the time with one component but under 8 % with eight,</w:t>
      </w:r>
      <w:r>
        <w:t xml:space="preserve"> </w:t>
      </w:r>
      <w:r>
        <w:t xml:space="preserve">while BKT on each component keeps its precision where the questions tell the components apart and the practice is</w:t>
      </w:r>
      <w:r>
        <w:t xml:space="preserve"> </w:t>
      </w:r>
      <w:r>
        <w:t xml:space="preserve">long enough to ask about each. Robustness checks on four further random seeds and on whole classes resampled are also</w:t>
      </w:r>
      <w:r>
        <w:t xml:space="preserve"> </w:t>
      </w:r>
      <w:r>
        <w:t xml:space="preserve">done. What remains is to revise the draft with the supervisor, to check it against the department’s format, and to</w:t>
      </w:r>
      <w:r>
        <w:t xml:space="preserve"> </w:t>
      </w:r>
      <w:r>
        <w:t xml:space="preserve">prepare the defence.</w:t>
      </w:r>
    </w:p>
    <w:bookmarkEnd w:id="31"/>
    <w:bookmarkStart w:id="70" w:name="bibliography"/>
    <w:p>
      <w:pPr>
        <w:pStyle w:val="Heading1"/>
      </w:pPr>
      <w:r>
        <w:t xml:space="preserve">References</w:t>
      </w:r>
    </w:p>
    <w:bookmarkStart w:id="69" w:name="refs"/>
    <w:bookmarkStart w:id="33" w:name="ref-assistments2010data"/>
    <w:p>
      <w:pPr>
        <w:pStyle w:val="Bibliography"/>
      </w:pPr>
      <w:r>
        <w:t xml:space="preserve">ASSISTments. (n.d.).</w:t>
      </w:r>
      <w:r>
        <w:t xml:space="preserve"> </w:t>
      </w:r>
      <w:r>
        <w:rPr>
          <w:i/>
          <w:iCs/>
        </w:rPr>
        <w:t xml:space="preserve">ASSISTments</w:t>
      </w:r>
      <w:r>
        <w:rPr>
          <w:i/>
          <w:iCs/>
        </w:rPr>
        <w:t xml:space="preserve"> </w:t>
      </w:r>
      <w:r>
        <w:rPr>
          <w:i/>
          <w:iCs/>
        </w:rPr>
        <w:t xml:space="preserve">2009–2010 data: Skill builder data</w:t>
      </w:r>
      <w:r>
        <w:t xml:space="preserve">.</w:t>
      </w:r>
      <w:r>
        <w:t xml:space="preserve"> </w:t>
      </w:r>
      <w:hyperlink r:id="rId32">
        <w:r>
          <w:rPr>
            <w:rStyle w:val="Hyperlink"/>
          </w:rPr>
          <w:t xml:space="preserve">https://sites.google.com/site/assistmentsdata/home/2009-2010-assistment-data</w:t>
        </w:r>
      </w:hyperlink>
      <w:r>
        <w:t xml:space="preserve">.</w:t>
      </w:r>
    </w:p>
    <w:bookmarkEnd w:id="33"/>
    <w:bookmarkStart w:id="35" w:name="ref-beck2007identifiability"/>
    <w:p>
      <w:pPr>
        <w:pStyle w:val="Bibliography"/>
      </w:pPr>
      <w:r>
        <w:t xml:space="preserve">Beck, J. E., &amp; Chang, K. (2007). Identifiability: A fundamental problem of student modeling. In C. Conati, K. McCoy, &amp; G. Paliouras (Eds.),</w:t>
      </w:r>
      <w:r>
        <w:t xml:space="preserve"> </w:t>
      </w:r>
      <w:r>
        <w:rPr>
          <w:i/>
          <w:iCs/>
        </w:rPr>
        <w:t xml:space="preserve">User modeling 2007</w:t>
      </w:r>
      <w:r>
        <w:t xml:space="preserve"> </w:t>
      </w:r>
      <w:r>
        <w:t xml:space="preserve">(Vol. 4511, pp. 137–146).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https://doi.org/10.1007/978-3-540-73078-1_17</w:t>
        </w:r>
      </w:hyperlink>
    </w:p>
    <w:bookmarkEnd w:id="35"/>
    <w:bookmarkStart w:id="37" w:name="ref-bloom1984"/>
    <w:p>
      <w:pPr>
        <w:pStyle w:val="Bibliography"/>
      </w:pPr>
      <w:r>
        <w:t xml:space="preserve">Bloom, B. S. (1984). The 2 sigma problem: The search for methods of group instruction as effective as one-to-one tutoring.</w:t>
      </w:r>
      <w:r>
        <w:t xml:space="preserve"> </w:t>
      </w:r>
      <w:r>
        <w:rPr>
          <w:i/>
          <w:iCs/>
        </w:rPr>
        <w:t xml:space="preserve">Educational Researcher</w:t>
      </w:r>
      <w:r>
        <w:t xml:space="preserve">,</w:t>
      </w:r>
      <w:r>
        <w:t xml:space="preserve"> </w:t>
      </w:r>
      <w:r>
        <w:rPr>
          <w:i/>
          <w:iCs/>
        </w:rPr>
        <w:t xml:space="preserve">13</w:t>
      </w:r>
      <w:r>
        <w:t xml:space="preserve">(6), 4–16.</w:t>
      </w:r>
      <w:r>
        <w:t xml:space="preserve"> </w:t>
      </w:r>
      <w:hyperlink r:id="rId36">
        <w:r>
          <w:rPr>
            <w:rStyle w:val="Hyperlink"/>
          </w:rPr>
          <w:t xml:space="preserve">https://doi.org/10.3102/0013189X013006004</w:t>
        </w:r>
      </w:hyperlink>
    </w:p>
    <w:bookmarkEnd w:id="37"/>
    <w:bookmarkStart w:id="39" w:name="ref-cen2006lfa"/>
    <w:p>
      <w:pPr>
        <w:pStyle w:val="Bibliography"/>
      </w:pPr>
      <w:r>
        <w:t xml:space="preserve">Cen, H., Koedinger, K. R., &amp; Junker, B. (2006). Learning factors analysis: A general method for cognitive model evaluation and improvement.</w:t>
      </w:r>
      <w:r>
        <w:t xml:space="preserve"> </w:t>
      </w:r>
      <w:r>
        <w:rPr>
          <w:i/>
          <w:iCs/>
        </w:rPr>
        <w:t xml:space="preserve">Intelligent Tutoring Systems (ITS 2006), Lecture Notes in Computer Science</w:t>
      </w:r>
      <w:r>
        <w:t xml:space="preserve">,</w:t>
      </w:r>
      <w:r>
        <w:t xml:space="preserve"> </w:t>
      </w:r>
      <w:r>
        <w:rPr>
          <w:i/>
          <w:iCs/>
        </w:rPr>
        <w:t xml:space="preserve">4053</w:t>
      </w:r>
      <w:r>
        <w:t xml:space="preserve">, 164–175.</w:t>
      </w:r>
      <w:r>
        <w:t xml:space="preserve"> </w:t>
      </w:r>
      <w:hyperlink r:id="rId38">
        <w:r>
          <w:rPr>
            <w:rStyle w:val="Hyperlink"/>
          </w:rPr>
          <w:t xml:space="preserve">https://doi.org/10.1007/11774303_17</w:t>
        </w:r>
      </w:hyperlink>
    </w:p>
    <w:bookmarkEnd w:id="39"/>
    <w:bookmarkStart w:id="41" w:name="ref-corbett1994"/>
    <w:p>
      <w:pPr>
        <w:pStyle w:val="Bibliography"/>
      </w:pPr>
      <w:r>
        <w:t xml:space="preserve">Corbett, A. T., &amp; Anderson, J. R. (1994). Knowledge tracing: Modeling the acquisition of procedural knowledge.</w:t>
      </w:r>
      <w:r>
        <w:t xml:space="preserve"> </w:t>
      </w:r>
      <w:r>
        <w:rPr>
          <w:i/>
          <w:iCs/>
        </w:rPr>
        <w:t xml:space="preserve">User Modeling and User-Adapted Interaction</w:t>
      </w:r>
      <w:r>
        <w:t xml:space="preserve">,</w:t>
      </w:r>
      <w:r>
        <w:t xml:space="preserve"> </w:t>
      </w:r>
      <w:r>
        <w:rPr>
          <w:i/>
          <w:iCs/>
        </w:rPr>
        <w:t xml:space="preserve">4</w:t>
      </w:r>
      <w:r>
        <w:t xml:space="preserve">(4), 253–278.</w:t>
      </w:r>
      <w:r>
        <w:t xml:space="preserve"> </w:t>
      </w:r>
      <w:hyperlink r:id="rId40">
        <w:r>
          <w:rPr>
            <w:rStyle w:val="Hyperlink"/>
          </w:rPr>
          <w:t xml:space="preserve">https://doi.org/10.1007/BF01099821</w:t>
        </w:r>
      </w:hyperlink>
    </w:p>
    <w:bookmarkEnd w:id="41"/>
    <w:bookmarkStart w:id="42" w:name="ref-fancsali2013mastery"/>
    <w:p>
      <w:pPr>
        <w:pStyle w:val="Bibliography"/>
      </w:pPr>
      <w:r>
        <w:t xml:space="preserve">Fancsali, S. E., Nixon, T., &amp; Ritter, S. (2013). Optimal and worst-case performance of mastery learning assessment with</w:t>
      </w:r>
      <w:r>
        <w:t xml:space="preserve"> </w:t>
      </w:r>
      <w:r>
        <w:t xml:space="preserve">Bayesian</w:t>
      </w:r>
      <w:r>
        <w:t xml:space="preserve"> </w:t>
      </w:r>
      <w:r>
        <w:t xml:space="preserve">knowledge tracing. In S. K. D’Mello, R. A. Calvo, &amp; A. Olney (Eds.),</w:t>
      </w:r>
      <w:r>
        <w:t xml:space="preserve"> </w:t>
      </w:r>
      <w:r>
        <w:rPr>
          <w:i/>
          <w:iCs/>
        </w:rPr>
        <w:t xml:space="preserve">Proceedings of the 6th international conference on educational data mining</w:t>
      </w:r>
      <w:r>
        <w:t xml:space="preserve"> </w:t>
      </w:r>
      <w:r>
        <w:t xml:space="preserve">(pp. 35–42).</w:t>
      </w:r>
    </w:p>
    <w:bookmarkEnd w:id="42"/>
    <w:bookmarkStart w:id="44" w:name="ref-feng2009grainsize"/>
    <w:p>
      <w:pPr>
        <w:pStyle w:val="Bibliography"/>
      </w:pPr>
      <w:r>
        <w:t xml:space="preserve">Feng, M., Heffernan, N. T., Heffernan, C., &amp; Mani, M. (2009). Using mixed-effects modeling to analyze different grain-sized skill models in an intelligent tutoring system.</w:t>
      </w:r>
      <w:r>
        <w:t xml:space="preserve"> </w:t>
      </w:r>
      <w:r>
        <w:rPr>
          <w:i/>
          <w:iCs/>
        </w:rPr>
        <w:t xml:space="preserve">IEEE Transactions on Learning Technologies</w:t>
      </w:r>
      <w:r>
        <w:t xml:space="preserve">,</w:t>
      </w:r>
      <w:r>
        <w:t xml:space="preserve"> </w:t>
      </w:r>
      <w:r>
        <w:rPr>
          <w:i/>
          <w:iCs/>
        </w:rPr>
        <w:t xml:space="preserve">2</w:t>
      </w:r>
      <w:r>
        <w:t xml:space="preserve">(2), 79–92.</w:t>
      </w:r>
      <w:r>
        <w:t xml:space="preserve"> </w:t>
      </w:r>
      <w:hyperlink r:id="rId43">
        <w:r>
          <w:rPr>
            <w:rStyle w:val="Hyperlink"/>
          </w:rPr>
          <w:t xml:space="preserve">https://doi.org/10.1109/TLT.2009.17</w:t>
        </w:r>
      </w:hyperlink>
    </w:p>
    <w:bookmarkEnd w:id="44"/>
    <w:bookmarkStart w:id="46" w:name="ref-feng2009assistments"/>
    <w:p>
      <w:pPr>
        <w:pStyle w:val="Bibliography"/>
      </w:pPr>
      <w:r>
        <w:t xml:space="preserve">Feng, M., Heffernan, N., &amp; Koedinger, K. (2009). Addressing the assessment challenge with an online system that tutors as it assesses.</w:t>
      </w:r>
      <w:r>
        <w:t xml:space="preserve"> </w:t>
      </w:r>
      <w:r>
        <w:rPr>
          <w:i/>
          <w:iCs/>
        </w:rPr>
        <w:t xml:space="preserve">User Modeling and User-Adapted Interaction</w:t>
      </w:r>
      <w:r>
        <w:t xml:space="preserve">,</w:t>
      </w:r>
      <w:r>
        <w:t xml:space="preserve"> </w:t>
      </w:r>
      <w:r>
        <w:rPr>
          <w:i/>
          <w:iCs/>
        </w:rPr>
        <w:t xml:space="preserve">19</w:t>
      </w:r>
      <w:r>
        <w:t xml:space="preserve">(3), 243–266.</w:t>
      </w:r>
      <w:r>
        <w:t xml:space="preserve"> </w:t>
      </w:r>
      <w:hyperlink r:id="rId45">
        <w:r>
          <w:rPr>
            <w:rStyle w:val="Hyperlink"/>
          </w:rPr>
          <w:t xml:space="preserve">https://doi.org/10.1007/s11257-009-9063-7</w:t>
        </w:r>
      </w:hyperlink>
    </w:p>
    <w:bookmarkEnd w:id="46"/>
    <w:bookmarkStart w:id="48" w:name="ref-khajah2016"/>
    <w:p>
      <w:pPr>
        <w:pStyle w:val="Bibliography"/>
      </w:pPr>
      <w:r>
        <w:t xml:space="preserve">Khajah, M., Lindsey, R. V., &amp; Mozer, M. C. (2016). How deep is knowledge tracing? In T. Barnes, M. Chi, &amp; M. Feng (Eds.),</w:t>
      </w:r>
      <w:r>
        <w:t xml:space="preserve"> </w:t>
      </w:r>
      <w:r>
        <w:rPr>
          <w:i/>
          <w:iCs/>
        </w:rPr>
        <w:t xml:space="preserve">Proceedings of the 9th international conference on educational data mining (EDM 2016)</w:t>
      </w:r>
      <w:r>
        <w:t xml:space="preserve"> </w:t>
      </w:r>
      <w:r>
        <w:t xml:space="preserve">(pp. 94–101).</w:t>
      </w:r>
      <w:r>
        <w:t xml:space="preserve"> </w:t>
      </w:r>
      <w:hyperlink r:id="rId47">
        <w:r>
          <w:rPr>
            <w:rStyle w:val="Hyperlink"/>
          </w:rPr>
          <w:t xml:space="preserve">https://educationaldatamining.org/EDM2016/proceedings/paper_144.pdf</w:t>
        </w:r>
      </w:hyperlink>
    </w:p>
    <w:bookmarkEnd w:id="48"/>
    <w:bookmarkStart w:id="50" w:name="ref-khanmastery"/>
    <w:p>
      <w:pPr>
        <w:pStyle w:val="Bibliography"/>
      </w:pPr>
      <w:r>
        <w:t xml:space="preserve">Khan Academy. (n.d.).</w:t>
      </w:r>
      <w:r>
        <w:t xml:space="preserve"> </w:t>
      </w:r>
      <w:r>
        <w:rPr>
          <w:i/>
          <w:iCs/>
        </w:rPr>
        <w:t xml:space="preserve">How do</w:t>
      </w:r>
      <w:r>
        <w:rPr>
          <w:i/>
          <w:iCs/>
        </w:rPr>
        <w:t xml:space="preserve"> </w:t>
      </w:r>
      <w:r>
        <w:rPr>
          <w:i/>
          <w:iCs/>
        </w:rPr>
        <w:t xml:space="preserve">Khan Academy’s</w:t>
      </w:r>
      <w:r>
        <w:rPr>
          <w:i/>
          <w:iCs/>
        </w:rPr>
        <w:t xml:space="preserve"> </w:t>
      </w:r>
      <w:r>
        <w:rPr>
          <w:i/>
          <w:iCs/>
        </w:rPr>
        <w:t xml:space="preserve">mastery levels work?</w:t>
      </w:r>
      <w:r>
        <w:t xml:space="preserve"> </w:t>
      </w:r>
      <w:hyperlink r:id="rId49">
        <w:r>
          <w:rPr>
            <w:rStyle w:val="Hyperlink"/>
          </w:rPr>
          <w:t xml:space="preserve">https://support.khanacademy.org/hc/en-us/articles/5548760867853</w:t>
        </w:r>
      </w:hyperlink>
      <w:r>
        <w:t xml:space="preserve">.</w:t>
      </w:r>
    </w:p>
    <w:bookmarkEnd w:id="50"/>
    <w:bookmarkStart w:id="52" w:name="ref-koedinger2012kli"/>
    <w:p>
      <w:pPr>
        <w:pStyle w:val="Bibliography"/>
      </w:pPr>
      <w:r>
        <w:t xml:space="preserve">Koedinger, K. R., Corbett, A. T., &amp; Perfetti, C. (2012). The knowledge-learning-instruction framework: Bridging the science-practice chasm to enhance robust student learning.</w:t>
      </w:r>
      <w:r>
        <w:t xml:space="preserve"> </w:t>
      </w:r>
      <w:r>
        <w:rPr>
          <w:i/>
          <w:iCs/>
        </w:rPr>
        <w:t xml:space="preserve">Cognitive Science</w:t>
      </w:r>
      <w:r>
        <w:t xml:space="preserve">,</w:t>
      </w:r>
      <w:r>
        <w:t xml:space="preserve"> </w:t>
      </w:r>
      <w:r>
        <w:rPr>
          <w:i/>
          <w:iCs/>
        </w:rPr>
        <w:t xml:space="preserve">36</w:t>
      </w:r>
      <w:r>
        <w:t xml:space="preserve">(5), 757–798.</w:t>
      </w:r>
      <w:r>
        <w:t xml:space="preserve"> </w:t>
      </w:r>
      <w:hyperlink r:id="rId51">
        <w:r>
          <w:rPr>
            <w:rStyle w:val="Hyperlink"/>
          </w:rPr>
          <w:t xml:space="preserve">https://doi.org/10.1111/j.1551-6709.2012.01245.x</w:t>
        </w:r>
      </w:hyperlink>
    </w:p>
    <w:bookmarkEnd w:id="52"/>
    <w:bookmarkStart w:id="54" w:name="ref-kulik2016"/>
    <w:p>
      <w:pPr>
        <w:pStyle w:val="Bibliography"/>
      </w:pPr>
      <w:r>
        <w:t xml:space="preserve">Kulik, J. A., &amp; Fletcher, J. D. (2016). Effectiveness of intelligent tutoring systems: A meta-analytic review.</w:t>
      </w:r>
      <w:r>
        <w:t xml:space="preserve"> </w:t>
      </w:r>
      <w:r>
        <w:rPr>
          <w:i/>
          <w:iCs/>
        </w:rPr>
        <w:t xml:space="preserve">Review of Educational Research</w:t>
      </w:r>
      <w:r>
        <w:t xml:space="preserve">,</w:t>
      </w:r>
      <w:r>
        <w:t xml:space="preserve"> </w:t>
      </w:r>
      <w:r>
        <w:rPr>
          <w:i/>
          <w:iCs/>
        </w:rPr>
        <w:t xml:space="preserve">86</w:t>
      </w:r>
      <w:r>
        <w:t xml:space="preserve">(1), 42–78.</w:t>
      </w:r>
      <w:r>
        <w:t xml:space="preserve"> </w:t>
      </w:r>
      <w:hyperlink r:id="rId53">
        <w:r>
          <w:rPr>
            <w:rStyle w:val="Hyperlink"/>
          </w:rPr>
          <w:t xml:space="preserve">https://doi.org/10.3102/0034654315581420</w:t>
        </w:r>
      </w:hyperlink>
    </w:p>
    <w:bookmarkEnd w:id="54"/>
    <w:bookmarkStart w:id="55" w:name="ref-pardos2008composition"/>
    <w:p>
      <w:pPr>
        <w:pStyle w:val="Bibliography"/>
      </w:pPr>
      <w:r>
        <w:t xml:space="preserve">Pardos, Z. A., Beck, J. E., Ruiz, C., &amp; Heffernan, N. T. (2008). The composition effect: Conjunctive or compensatory?</w:t>
      </w:r>
      <w:r>
        <w:t xml:space="preserve"> </w:t>
      </w:r>
      <w:r>
        <w:t xml:space="preserve">An</w:t>
      </w:r>
      <w:r>
        <w:t xml:space="preserve"> </w:t>
      </w:r>
      <w:r>
        <w:t xml:space="preserve">analysis of multi-skill math questions in</w:t>
      </w:r>
      <w:r>
        <w:t xml:space="preserve"> </w:t>
      </w:r>
      <w:r>
        <w:t xml:space="preserve">ITS</w:t>
      </w:r>
      <w:r>
        <w:t xml:space="preserve">. In R. S. J. d. Baker &amp; J. E. Beck (Eds.),</w:t>
      </w:r>
      <w:r>
        <w:t xml:space="preserve"> </w:t>
      </w:r>
      <w:r>
        <w:rPr>
          <w:i/>
          <w:iCs/>
        </w:rPr>
        <w:t xml:space="preserve">Proceedings of the 1st international conference on educational data mining (EDM 2008)</w:t>
      </w:r>
      <w:r>
        <w:t xml:space="preserve"> </w:t>
      </w:r>
      <w:r>
        <w:t xml:space="preserve">(pp. 147–156).</w:t>
      </w:r>
    </w:p>
    <w:bookmarkEnd w:id="55"/>
    <w:bookmarkStart w:id="56" w:name="ref-pardos2007finegrained"/>
    <w:p>
      <w:pPr>
        <w:pStyle w:val="Bibliography"/>
      </w:pPr>
      <w:r>
        <w:t xml:space="preserve">Pardos, Z. A., Feng, M., Heffernan, N. T., &amp; Heffernan, C. L. (2007). Analyzing fine-grained skill models using</w:t>
      </w:r>
      <w:r>
        <w:t xml:space="preserve"> </w:t>
      </w:r>
      <w:r>
        <w:t xml:space="preserve">Bayesian</w:t>
      </w:r>
      <w:r>
        <w:t xml:space="preserve"> </w:t>
      </w:r>
      <w:r>
        <w:t xml:space="preserve">and mixed effects methods. In R. Luckin, K. R. Koedinger, &amp; J. Greer (Eds.),</w:t>
      </w:r>
      <w:r>
        <w:t xml:space="preserve"> </w:t>
      </w:r>
      <w:r>
        <w:rPr>
          <w:i/>
          <w:iCs/>
        </w:rPr>
        <w:t xml:space="preserve">Artificial intelligence in education: Building technology rich learning contexts that work (AIED 2007)</w:t>
      </w:r>
      <w:r>
        <w:t xml:space="preserve"> </w:t>
      </w:r>
      <w:r>
        <w:t xml:space="preserve">(pp. 626–628). IOS Press.</w:t>
      </w:r>
    </w:p>
    <w:bookmarkEnd w:id="56"/>
    <w:bookmarkStart w:id="57" w:name="ref-pardos2007granularity"/>
    <w:p>
      <w:pPr>
        <w:pStyle w:val="Bibliography"/>
      </w:pPr>
      <w:r>
        <w:t xml:space="preserve">Pardos, Z. A., Heffernan, N. T., Anderson, B., &amp; Heffernan, C. L. (2007). The effect of model granularity on student performance prediction using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networks. In C. Conati, K. McCoy, &amp; G. Paliouras (Eds.),</w:t>
      </w:r>
      <w:r>
        <w:t xml:space="preserve"> </w:t>
      </w:r>
      <w:r>
        <w:rPr>
          <w:i/>
          <w:iCs/>
        </w:rPr>
        <w:t xml:space="preserve">User modeling 2007</w:t>
      </w:r>
      <w:r>
        <w:t xml:space="preserve"> </w:t>
      </w:r>
      <w:r>
        <w:t xml:space="preserve">(Vol. 4511, pp. 435–439). Springer.</w:t>
      </w:r>
    </w:p>
    <w:bookmarkEnd w:id="57"/>
    <w:bookmarkStart w:id="59" w:name="ref-pelanek2015metrics"/>
    <w:p>
      <w:pPr>
        <w:pStyle w:val="Bibliography"/>
      </w:pPr>
      <w:r>
        <w:t xml:space="preserve">Pelánek, R. (2015). Metrics for evaluation of student models.</w:t>
      </w:r>
      <w:r>
        <w:t xml:space="preserve"> </w:t>
      </w:r>
      <w:r>
        <w:rPr>
          <w:i/>
          <w:iCs/>
        </w:rPr>
        <w:t xml:space="preserve">Journal of Educational Data Mining</w:t>
      </w:r>
      <w:r>
        <w:t xml:space="preserve">,</w:t>
      </w:r>
      <w:r>
        <w:t xml:space="preserve"> </w:t>
      </w:r>
      <w:r>
        <w:rPr>
          <w:i/>
          <w:iCs/>
        </w:rPr>
        <w:t xml:space="preserve">7</w:t>
      </w:r>
      <w:r>
        <w:t xml:space="preserve">(2), 1–19.</w:t>
      </w:r>
      <w:r>
        <w:t xml:space="preserve"> </w:t>
      </w:r>
      <w:hyperlink r:id="rId58">
        <w:r>
          <w:rPr>
            <w:rStyle w:val="Hyperlink"/>
          </w:rPr>
          <w:t xml:space="preserve">https://doi.org/10.5281/zenodo.3554665</w:t>
        </w:r>
      </w:hyperlink>
    </w:p>
    <w:bookmarkEnd w:id="59"/>
    <w:bookmarkStart w:id="61" w:name="ref-pelanek2017mastery"/>
    <w:p>
      <w:pPr>
        <w:pStyle w:val="Bibliography"/>
      </w:pPr>
      <w:r>
        <w:t xml:space="preserve">Pelánek, R., &amp; Řihák, J. (2017). Experimental analysis of mastery learning criteria.</w:t>
      </w:r>
      <w:r>
        <w:t xml:space="preserve"> </w:t>
      </w:r>
      <w:r>
        <w:rPr>
          <w:i/>
          <w:iCs/>
        </w:rPr>
        <w:t xml:space="preserve">Proceedings of the 25th Conference on User Modeling, Adaptation and Personalization (UMAP 2017)</w:t>
      </w:r>
      <w:r>
        <w:t xml:space="preserve">, 156–163.</w:t>
      </w:r>
      <w:r>
        <w:t xml:space="preserve"> </w:t>
      </w:r>
      <w:hyperlink r:id="rId60">
        <w:r>
          <w:rPr>
            <w:rStyle w:val="Hyperlink"/>
          </w:rPr>
          <w:t xml:space="preserve">https://doi.org/10.1145/3079628.3079667</w:t>
        </w:r>
      </w:hyperlink>
    </w:p>
    <w:bookmarkEnd w:id="61"/>
    <w:bookmarkStart w:id="63" w:name="ref-tatsuoka1983rulespace"/>
    <w:p>
      <w:pPr>
        <w:pStyle w:val="Bibliography"/>
      </w:pPr>
      <w:r>
        <w:t xml:space="preserve">Tatsuoka, K. K. (1983). Rule space: An approach for dealing with misconceptions based on item response theory.</w:t>
      </w:r>
      <w:r>
        <w:t xml:space="preserve"> </w:t>
      </w:r>
      <w:r>
        <w:rPr>
          <w:i/>
          <w:iCs/>
        </w:rPr>
        <w:t xml:space="preserve">Journal of Educational Measurement</w:t>
      </w:r>
      <w:r>
        <w:t xml:space="preserve">,</w:t>
      </w:r>
      <w:r>
        <w:t xml:space="preserve"> </w:t>
      </w:r>
      <w:r>
        <w:rPr>
          <w:i/>
          <w:iCs/>
        </w:rPr>
        <w:t xml:space="preserve">20</w:t>
      </w:r>
      <w:r>
        <w:t xml:space="preserve">(4), 345–354.</w:t>
      </w:r>
      <w:r>
        <w:t xml:space="preserve"> </w:t>
      </w:r>
      <w:hyperlink r:id="rId62">
        <w:r>
          <w:rPr>
            <w:rStyle w:val="Hyperlink"/>
          </w:rPr>
          <w:t xml:space="preserve">https://doi.org/10.1111/j.1745-3984.1983.tb00212.x</w:t>
        </w:r>
      </w:hyperlink>
    </w:p>
    <w:bookmarkEnd w:id="63"/>
    <w:bookmarkStart w:id="65" w:name="ref-vanlehn2011"/>
    <w:p>
      <w:pPr>
        <w:pStyle w:val="Bibliography"/>
      </w:pPr>
      <w:r>
        <w:t xml:space="preserve">VanLehn, K. (2011). The relative effectiveness of human tutoring, intelligent tutoring systems, and other tutoring systems.</w:t>
      </w:r>
      <w:r>
        <w:t xml:space="preserve"> </w:t>
      </w:r>
      <w:r>
        <w:rPr>
          <w:i/>
          <w:iCs/>
        </w:rPr>
        <w:t xml:space="preserve">Educational Psychologist</w:t>
      </w:r>
      <w:r>
        <w:t xml:space="preserve">,</w:t>
      </w:r>
      <w:r>
        <w:t xml:space="preserve"> </w:t>
      </w:r>
      <w:r>
        <w:rPr>
          <w:i/>
          <w:iCs/>
        </w:rPr>
        <w:t xml:space="preserve">46</w:t>
      </w:r>
      <w:r>
        <w:t xml:space="preserve">(4), 197–221.</w:t>
      </w:r>
      <w:r>
        <w:t xml:space="preserve"> </w:t>
      </w:r>
      <w:hyperlink r:id="rId64">
        <w:r>
          <w:rPr>
            <w:rStyle w:val="Hyperlink"/>
          </w:rPr>
          <w:t xml:space="preserve">https://doi.org/10.1080/00461520.2011.611369</w:t>
        </w:r>
      </w:hyperlink>
    </w:p>
    <w:bookmarkEnd w:id="65"/>
    <w:bookmarkStart w:id="66" w:name="ref-xu2012subskills"/>
    <w:p>
      <w:pPr>
        <w:pStyle w:val="Bibliography"/>
      </w:pPr>
      <w:r>
        <w:t xml:space="preserve">Xu, Y., &amp; Mostow, J. (2012). Comparison of methods to trace multiple subskills: Is</w:t>
      </w:r>
      <w:r>
        <w:t xml:space="preserve"> </w:t>
      </w:r>
      <w:r>
        <w:t xml:space="preserve">LR-DBN</w:t>
      </w:r>
      <w:r>
        <w:t xml:space="preserve"> </w:t>
      </w:r>
      <w:r>
        <w:t xml:space="preserve">best?</w:t>
      </w:r>
      <w:r>
        <w:t xml:space="preserve"> </w:t>
      </w:r>
      <w:r>
        <w:rPr>
          <w:i/>
          <w:iCs/>
        </w:rPr>
        <w:t xml:space="preserve">Proceedings of the 5th International Conference on Educational Data Mining (EDM 2012)</w:t>
      </w:r>
      <w:r>
        <w:t xml:space="preserve">, 41–48.</w:t>
      </w:r>
    </w:p>
    <w:bookmarkEnd w:id="66"/>
    <w:bookmarkStart w:id="68" w:name="ref-yudelson2013"/>
    <w:p>
      <w:pPr>
        <w:pStyle w:val="Bibliography"/>
      </w:pPr>
      <w:r>
        <w:t xml:space="preserve">Yudelson, M. V., Koedinger, K. R., &amp; Gordon, G. J. (2013). Individualized</w:t>
      </w:r>
      <w:r>
        <w:t xml:space="preserve"> </w:t>
      </w:r>
      <w:r>
        <w:t xml:space="preserve">Bayesian</w:t>
      </w:r>
      <w:r>
        <w:t xml:space="preserve"> </w:t>
      </w:r>
      <w:r>
        <w:t xml:space="preserve">knowledge tracing models.</w:t>
      </w:r>
      <w:r>
        <w:t xml:space="preserve"> </w:t>
      </w:r>
      <w:r>
        <w:rPr>
          <w:i/>
          <w:iCs/>
        </w:rPr>
        <w:t xml:space="preserve">Artificial Intelligence in Education (AIED 2013), Lecture Notes in Computer Science</w:t>
      </w:r>
      <w:r>
        <w:t xml:space="preserve">,</w:t>
      </w:r>
      <w:r>
        <w:t xml:space="preserve"> </w:t>
      </w:r>
      <w:r>
        <w:rPr>
          <w:i/>
          <w:iCs/>
        </w:rPr>
        <w:t xml:space="preserve">7926</w:t>
      </w:r>
      <w:r>
        <w:t xml:space="preserve">, 171–180.</w:t>
      </w:r>
      <w:r>
        <w:t xml:space="preserve"> </w:t>
      </w:r>
      <w:hyperlink r:id="rId67">
        <w:r>
          <w:rPr>
            <w:rStyle w:val="Hyperlink"/>
          </w:rPr>
          <w:t xml:space="preserve">https://doi.org/10.1007/978-3-642-39112-5_18</w:t>
        </w:r>
      </w:hyperlink>
    </w:p>
    <w:bookmarkEnd w:id="68"/>
    <w:bookmarkEnd w:id="69"/>
    <w:bookmarkEnd w:id="70"/>
    <w:sectPr>
      <w:headerReference r:id="rId9" w:type="default"/>
      <w:headerReference r:id="rId9" w:type="first"/>
      <w:footerReference r:id="rId10" w:type="default"/>
      <w:footerReference r:id="rId11" w:type="first"/>
      <w:footnotePr>
        <w:numRestart w:val="eachSect"/>
      </w:footnotePr>
      <w:pgSz w:h="16838" w:w="11906"/>
      <w:pgMar w:bottom="1440" w:footer="720" w:gutter="0" w:header="720" w:left="1440" w:right="1440" w:top="144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jc w:val="right"/>
    </w:pPr>
    <w:r>
      <w:rPr>
        <w:rFonts w:ascii="Sylfaen" w:hAnsi="Sylfaen"/>
        <w:i/>
        <w:sz w:val="16"/>
        <w:szCs w:val="16"/>
      </w:rPr>
      <w:t>The Effect of Skill Granularity on Mastery Estimation in Adaptive Learning Systems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60" w:before="0" w:line="360" w:lineRule="auto"/>
      <w:jc w:val="both"/>
    </w:pPr>
    <w:rPr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keepNext/>
      <w:spacing w:after="20" w:before="20" w:line="240" w:lineRule="auto"/>
      <w:jc w:val="left"/>
    </w:pPr>
    <w:rPr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  <w:pPr>
      <w:spacing w:after="120" w:line="276" w:lineRule="auto"/>
      <w:ind w:hanging="720" w:left="720"/>
    </w:pPr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360"/>
      <w:outlineLvl w:val="0"/>
    </w:pPr>
    <w:rPr>
      <w:rFonts w:ascii="Times New Roman" w:cs="Times New Roman" w:eastAsia="Times New Roman" w:hAnsi="Times New Roman"/>
      <w:b w:val="0"/>
      <w:bCs w:val="0"/>
      <w:i w:val="0"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outlineLvl w:val="1"/>
    </w:pPr>
    <w:rPr>
      <w:rFonts w:ascii="Times New Roman" w:cs="Times New Roman" w:eastAsia="Times New Roman" w:hAnsi="Times New Roman"/>
      <w:b w:val="0"/>
      <w:bCs w:val="0"/>
      <w:i w:val="0"/>
      <w:color w:val="000000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200" w:before="120" w:line="360" w:lineRule="auto"/>
      <w:ind w:left="720" w:right="720"/>
    </w:pPr>
    <w:rPr/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 w:val="0"/>
      <w:color w:val="000000"/>
    </w:rPr>
  </w:style>
  <w:style w:customStyle="1" w:styleId="TableCaption" w:type="paragraph">
    <w:name w:val="Table Caption"/>
    <w:basedOn w:val="Caption"/>
    <w:pPr>
      <w:keepNext/>
      <w:spacing w:after="120" w:before="120"/>
    </w:pPr>
    <w:rPr>
      <w:i w:val="0"/>
      <w:color w:val="000000"/>
      <w:sz w:val="22"/>
      <w:szCs w:val="22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F4E79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240" w:before="360"/>
      <w:outlineLvl w:val="9"/>
    </w:pPr>
    <w:rPr>
      <w:rFonts w:ascii="Times New Roman" w:cs="Times New Roman" w:eastAsia="Times New Roman" w:hAnsi="Times New Roman"/>
      <w:b w:val="0"/>
      <w:bCs w:val="0"/>
      <w:i w:val="0"/>
      <w:color w:val="000000"/>
      <w:sz w:val="28"/>
      <w:szCs w:val="28"/>
    </w:rPr>
  </w:style>
  <w:style w:customStyle="1" w:styleId="TitlePage" w:type="paragraph">
    <w:name w:val="Title Page"/>
    <w:basedOn w:val="Normal"/>
    <w:qFormat/>
    <w:pPr>
      <w:spacing w:after="0" w:before="0" w:line="360" w:lineRule="auto"/>
      <w:jc w:val="center"/>
    </w:pPr>
    <w:rPr>
      <w:rFonts w:ascii="Sylfaen" w:cs="Sylfaen" w:eastAsia="Sylfaen" w:hAnsi="Sylfaen"/>
    </w:rPr>
  </w:style>
  <w:style w:styleId="TOC1" w:type="paragraph">
    <w:name w:val="toc 1"/>
    <w:basedOn w:val="Normal"/>
    <w:next w:val="Normal"/>
    <w:uiPriority w:val="39"/>
    <w:unhideWhenUsed/>
    <w:pPr>
      <w:tabs>
        <w:tab w:leader="dot" w:pos="9016" w:val="right"/>
      </w:tabs>
      <w:spacing w:after="120"/>
    </w:pPr>
  </w:style>
  <w:style w:styleId="Header" w:type="paragraph">
    <w:name w:val="header"/>
    <w:basedOn w:val="Normal"/>
    <w:pPr>
      <w:spacing w:after="0"/>
      <w:tabs>
        <w:tab w:pos="4513" w:val="center"/>
        <w:tab w:pos="9026" w:val="right"/>
      </w:tabs>
    </w:pPr>
  </w:style>
  <w:style w:styleId="Footer" w:type="paragraph">
    <w:name w:val="footer"/>
    <w:basedOn w:val="Normal"/>
    <w:pPr>
      <w:spacing w:after="0"/>
      <w:jc w:val="center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Id="rId11" Target="footer2.xml" Type="http://schemas.openxmlformats.org/officeDocument/2006/relationships/footer" /><Relationship Type="http://schemas.openxmlformats.org/officeDocument/2006/relationships/image" Id="rId20" Target="media/rId20.jpg" /><Relationship Type="http://schemas.openxmlformats.org/officeDocument/2006/relationships/hyperlink" Id="rId38" Target="https://doi.org/10.1007/11774303_17" TargetMode="External" /><Relationship Type="http://schemas.openxmlformats.org/officeDocument/2006/relationships/hyperlink" Id="rId34" Target="https://doi.org/10.1007/978-3-540-73078-1_17" TargetMode="External" /><Relationship Type="http://schemas.openxmlformats.org/officeDocument/2006/relationships/hyperlink" Id="rId67" Target="https://doi.org/10.1007/978-3-642-39112-5_18" TargetMode="External" /><Relationship Type="http://schemas.openxmlformats.org/officeDocument/2006/relationships/hyperlink" Id="rId40" Target="https://doi.org/10.1007/BF01099821" TargetMode="External" /><Relationship Type="http://schemas.openxmlformats.org/officeDocument/2006/relationships/hyperlink" Id="rId45" Target="https://doi.org/10.1007/s11257-009-9063-7" TargetMode="External" /><Relationship Type="http://schemas.openxmlformats.org/officeDocument/2006/relationships/hyperlink" Id="rId64" Target="https://doi.org/10.1080/00461520.2011.611369" TargetMode="External" /><Relationship Type="http://schemas.openxmlformats.org/officeDocument/2006/relationships/hyperlink" Id="rId43" Target="https://doi.org/10.1109/TLT.2009.17" TargetMode="External" /><Relationship Type="http://schemas.openxmlformats.org/officeDocument/2006/relationships/hyperlink" Id="rId51" Target="https://doi.org/10.1111/j.1551-6709.2012.01245.x" TargetMode="External" /><Relationship Type="http://schemas.openxmlformats.org/officeDocument/2006/relationships/hyperlink" Id="rId62" Target="https://doi.org/10.1111/j.1745-3984.1983.tb00212.x" TargetMode="External" /><Relationship Type="http://schemas.openxmlformats.org/officeDocument/2006/relationships/hyperlink" Id="rId60" Target="https://doi.org/10.1145/3079628.3079667" TargetMode="External" /><Relationship Type="http://schemas.openxmlformats.org/officeDocument/2006/relationships/hyperlink" Id="rId36" Target="https://doi.org/10.3102/0013189X013006004" TargetMode="External" /><Relationship Type="http://schemas.openxmlformats.org/officeDocument/2006/relationships/hyperlink" Id="rId53" Target="https://doi.org/10.3102/0034654315581420" TargetMode="External" /><Relationship Type="http://schemas.openxmlformats.org/officeDocument/2006/relationships/hyperlink" Id="rId58" Target="https://doi.org/10.5281/zenodo.3554665" TargetMode="External" /><Relationship Type="http://schemas.openxmlformats.org/officeDocument/2006/relationships/hyperlink" Id="rId47" Target="https://educationaldatamining.org/EDM2016/proceedings/paper_144.pdf" TargetMode="External" /><Relationship Type="http://schemas.openxmlformats.org/officeDocument/2006/relationships/hyperlink" Id="rId32" Target="https://sites.google.com/site/assistmentsdata/home/2009-2010-assistment-data" TargetMode="External" /><Relationship Type="http://schemas.openxmlformats.org/officeDocument/2006/relationships/hyperlink" Id="rId49" Target="https://support.khanacademy.org/hc/en-us/articles/554876086785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oi.org/10.1007/11774303_17" TargetMode="External" /><Relationship Type="http://schemas.openxmlformats.org/officeDocument/2006/relationships/hyperlink" Id="rId34" Target="https://doi.org/10.1007/978-3-540-73078-1_17" TargetMode="External" /><Relationship Type="http://schemas.openxmlformats.org/officeDocument/2006/relationships/hyperlink" Id="rId67" Target="https://doi.org/10.1007/978-3-642-39112-5_18" TargetMode="External" /><Relationship Type="http://schemas.openxmlformats.org/officeDocument/2006/relationships/hyperlink" Id="rId40" Target="https://doi.org/10.1007/BF01099821" TargetMode="External" /><Relationship Type="http://schemas.openxmlformats.org/officeDocument/2006/relationships/hyperlink" Id="rId45" Target="https://doi.org/10.1007/s11257-009-9063-7" TargetMode="External" /><Relationship Type="http://schemas.openxmlformats.org/officeDocument/2006/relationships/hyperlink" Id="rId64" Target="https://doi.org/10.1080/00461520.2011.611369" TargetMode="External" /><Relationship Type="http://schemas.openxmlformats.org/officeDocument/2006/relationships/hyperlink" Id="rId43" Target="https://doi.org/10.1109/TLT.2009.17" TargetMode="External" /><Relationship Type="http://schemas.openxmlformats.org/officeDocument/2006/relationships/hyperlink" Id="rId51" Target="https://doi.org/10.1111/j.1551-6709.2012.01245.x" TargetMode="External" /><Relationship Type="http://schemas.openxmlformats.org/officeDocument/2006/relationships/hyperlink" Id="rId62" Target="https://doi.org/10.1111/j.1745-3984.1983.tb00212.x" TargetMode="External" /><Relationship Type="http://schemas.openxmlformats.org/officeDocument/2006/relationships/hyperlink" Id="rId60" Target="https://doi.org/10.1145/3079628.3079667" TargetMode="External" /><Relationship Type="http://schemas.openxmlformats.org/officeDocument/2006/relationships/hyperlink" Id="rId36" Target="https://doi.org/10.3102/0013189X013006004" TargetMode="External" /><Relationship Type="http://schemas.openxmlformats.org/officeDocument/2006/relationships/hyperlink" Id="rId53" Target="https://doi.org/10.3102/0034654315581420" TargetMode="External" /><Relationship Type="http://schemas.openxmlformats.org/officeDocument/2006/relationships/hyperlink" Id="rId58" Target="https://doi.org/10.5281/zenodo.3554665" TargetMode="External" /><Relationship Type="http://schemas.openxmlformats.org/officeDocument/2006/relationships/hyperlink" Id="rId47" Target="https://educationaldatamining.org/EDM2016/proceedings/paper_144.pdf" TargetMode="External" /><Relationship Type="http://schemas.openxmlformats.org/officeDocument/2006/relationships/hyperlink" Id="rId32" Target="https://sites.google.com/site/assistmentsdata/home/2009-2010-assistment-data" TargetMode="External" /><Relationship Type="http://schemas.openxmlformats.org/officeDocument/2006/relationships/hyperlink" Id="rId49" Target="https://support.khanacademy.org/hc/en-us/articles/554876086785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2026-10-26T20:33:46Z</dcterms:created>
  <dcterms:modified xsi:type="dcterms:W3CDTF">2026-10-26T20:33:46Z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csl">
    <vt:lpwstr>docs/thesis/apa.csl</vt:lpwstr>
  </property>
  <property fmtid="{D5CDD505-2E9C-101B-9397-08002B2CF9AE}" pid="4" name="link-citations">
    <vt:lpwstr>True</vt:lpwstr>
  </property>
  <property fmtid="{D5CDD505-2E9C-101B-9397-08002B2CF9AE}" pid="5" name="reference-section-title">
    <vt:lpwstr>References</vt:lpwstr>
  </property>
</Properties>
</file>