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c45e270db419ac19266d0c49f68c46e798be1da"/>
    <w:p>
      <w:pPr>
        <w:pStyle w:val="Heading1"/>
      </w:pPr>
      <w:r>
        <w:t xml:space="preserve">Gestão Dinâmica de Tráfego e Preferência para Emergências</w:t>
      </w:r>
    </w:p>
    <w:p>
      <w:pPr>
        <w:pStyle w:val="FirstParagraph"/>
      </w:pPr>
      <w:r>
        <w:t xml:space="preserve">1ª Entrega do Trabalho A3: Planejamento da Qualidade e Especificação de Requisitos.</w:t>
      </w:r>
    </w:p>
    <w:bookmarkStart w:id="20" w:name="identificação"/>
    <w:p>
      <w:pPr>
        <w:pStyle w:val="Heading2"/>
      </w:pPr>
      <w:r>
        <w:t xml:space="preserve">1. Identificação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21"/>
        <w:gridCol w:w="6150"/>
      </w:tblGrid>
      <w:tr>
        <w:trPr>
          <w:tblHeader w:val="true"/>
        </w:trPr>
        <w:tc>
          <w:tcPr>
            <w:tcW w:type="dxa" w:w="292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Item</w:t>
            </w:r>
          </w:p>
        </w:tc>
        <w:tc>
          <w:tcPr>
            <w:tcW w:type="dxa" w:w="615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Informação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Instituição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UNIFACS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Unidade curricular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Gestão e Qualidade de Software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Trabalho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A3 - 1ª Entrega: Planejamento da Qualidade e Especificação de Requisitos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Professor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[Nome do professor]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Eixo temático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Trânsito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Sistema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Gestão Dinâmica de Tráfego e Preferência para Emergências (maquete digital)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Data de entrega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16/10/2026</w:t>
            </w:r>
          </w:p>
        </w:tc>
      </w:tr>
      <w:tr>
        <w:tc>
          <w:tcPr>
            <w:tcW w:type="dxa" w:w="29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Versão do documento</w:t>
            </w:r>
          </w:p>
        </w:tc>
        <w:tc>
          <w:tcPr>
            <w:tcW w:type="dxa" w:w="61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1.0</w:t>
            </w:r>
          </w:p>
        </w:tc>
      </w:tr>
    </w:tbl>
    <w:p>
      <w:pPr>
        <w:pStyle w:val="BodyText"/>
      </w:pPr>
      <w:r>
        <w:t xml:space="preserve">Integrantes do grupo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00"/>
        <w:gridCol w:w="6271"/>
        <w:gridCol w:w="2000"/>
      </w:tblGrid>
      <w:tr>
        <w:trPr>
          <w:tblHeader w:val="true"/>
        </w:trPr>
        <w:tc>
          <w:tcPr>
            <w:tcW w:type="dxa" w:w="8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Nº</w:t>
            </w:r>
          </w:p>
        </w:tc>
        <w:tc>
          <w:tcPr>
            <w:tcW w:type="dxa" w:w="62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Nome completo</w:t>
            </w:r>
          </w:p>
        </w:tc>
        <w:tc>
          <w:tcPr>
            <w:tcW w:type="dxa" w:w="20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RA</w:t>
            </w:r>
          </w:p>
        </w:tc>
      </w:tr>
      <w:tr>
        <w:tc>
          <w:tcPr>
            <w:tcW w:type="dxa" w:w="8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1</w:t>
            </w:r>
          </w:p>
        </w:tc>
        <w:tc>
          <w:tcPr>
            <w:tcW w:type="dxa" w:w="62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[Integrante 1]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[RA]</w:t>
            </w:r>
          </w:p>
        </w:tc>
      </w:tr>
      <w:tr>
        <w:tc>
          <w:tcPr>
            <w:tcW w:type="dxa" w:w="8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2</w:t>
            </w:r>
          </w:p>
        </w:tc>
        <w:tc>
          <w:tcPr>
            <w:tcW w:type="dxa" w:w="62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[Integrante 2]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[RA]</w:t>
            </w:r>
          </w:p>
        </w:tc>
      </w:tr>
      <w:tr>
        <w:tc>
          <w:tcPr>
            <w:tcW w:type="dxa" w:w="8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3</w:t>
            </w:r>
          </w:p>
        </w:tc>
        <w:tc>
          <w:tcPr>
            <w:tcW w:type="dxa" w:w="62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[Integrante 3]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[RA]</w:t>
            </w:r>
          </w:p>
        </w:tc>
      </w:tr>
      <w:tr>
        <w:tc>
          <w:tcPr>
            <w:tcW w:type="dxa" w:w="8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4</w:t>
            </w:r>
          </w:p>
        </w:tc>
        <w:tc>
          <w:tcPr>
            <w:tcW w:type="dxa" w:w="62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[Integrante 4]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[RA]</w:t>
            </w:r>
          </w:p>
        </w:tc>
      </w:tr>
      <w:tr>
        <w:tc>
          <w:tcPr>
            <w:tcW w:type="dxa" w:w="8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5</w:t>
            </w:r>
          </w:p>
        </w:tc>
        <w:tc>
          <w:tcPr>
            <w:tcW w:type="dxa" w:w="62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[Integrante 5]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[RA]</w:t>
            </w:r>
          </w:p>
        </w:tc>
      </w:tr>
      <w:tr>
        <w:tc>
          <w:tcPr>
            <w:tcW w:type="dxa" w:w="8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6</w:t>
            </w:r>
          </w:p>
        </w:tc>
        <w:tc>
          <w:tcPr>
            <w:tcW w:type="dxa" w:w="62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[Integrante 6, se houver]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[RA]</w:t>
            </w:r>
          </w:p>
        </w:tc>
      </w:tr>
    </w:tbl>
    <w:bookmarkEnd w:id="20"/>
    <w:bookmarkStart w:id="21" w:name="visão-geral-e-escopo"/>
    <w:p>
      <w:pPr>
        <w:pStyle w:val="Heading2"/>
      </w:pPr>
      <w:r>
        <w:t xml:space="preserve">2. Visão geral e escopo</w:t>
      </w:r>
    </w:p>
    <w:p>
      <w:pPr>
        <w:pStyle w:val="FirstParagraph"/>
      </w:pPr>
      <w:r>
        <w:t xml:space="preserve">O sistema é uma maquete digital de uma cidade com 20 cruzamentos (grade de 5 colunas por 4 linhas), dois hospitais, uma base do SAMU e um quartel dos bombeiros. Uma ambulância e uma viatura dos bombeiros patrulham a cidade sozinhas, e cada base guarda uma viatura de reserva. O usuário pode assumir a direção da ambulância AMB-01 quando quiser. Quando ele registra uma emergência, atende a viatura livre mais perto do local: a da patrulha, se ela estiver mais perto, ou a de reserva, se o local for perto da base. O sistema calcula a rota da posição atual até o local da ocorrência e, de lá, até o hospital mais próximo, e abre um corredor verde nos cruzamentos do caminho. Depois que a viatura passa, cada cruzamento volta ao ciclo normal. Ao terminar o serviço, a viatura da patrulha volta a patrulhar de onde está, e a de reserva volta para a base.</w:t>
      </w:r>
    </w:p>
    <w:p>
      <w:pPr>
        <w:pStyle w:val="BodyText"/>
      </w:pPr>
      <w:r>
        <w:t xml:space="preserve">Escopo</w:t>
      </w:r>
    </w:p>
    <w:p>
      <w:pPr>
        <w:numPr>
          <w:ilvl w:val="0"/>
          <w:numId w:val="1001"/>
        </w:numPr>
        <w:pStyle w:val="Compact"/>
      </w:pPr>
      <w:r>
        <w:t xml:space="preserve">Maquete com ruas, semáforos, carros comuns, duas ambulâncias e duas viaturas dos bombeiros.</w:t>
      </w:r>
    </w:p>
    <w:p>
      <w:pPr>
        <w:numPr>
          <w:ilvl w:val="0"/>
          <w:numId w:val="1001"/>
        </w:numPr>
        <w:pStyle w:val="Compact"/>
      </w:pPr>
      <w:r>
        <w:t xml:space="preserve">Viaturas livres patrulham a cidade sozinhas; o usuário pode assumir a direção da AMB-01 a qualquer momento.</w:t>
      </w:r>
    </w:p>
    <w:p>
      <w:pPr>
        <w:numPr>
          <w:ilvl w:val="0"/>
          <w:numId w:val="1001"/>
        </w:numPr>
        <w:pStyle w:val="Compact"/>
      </w:pPr>
      <w:r>
        <w:t xml:space="preserve">Viatura de reserva em cada base. A emergência vai para a viatura livre mais perto; ao terminar, a da patrulha continua patrulhando e a de reserva volta para a base.</w:t>
      </w:r>
    </w:p>
    <w:p>
      <w:pPr>
        <w:numPr>
          <w:ilvl w:val="0"/>
          <w:numId w:val="1001"/>
        </w:numPr>
        <w:pStyle w:val="Compact"/>
      </w:pPr>
      <w:r>
        <w:t xml:space="preserve">Registro de emergências com criticidade, rota em dois trechos (local da ocorrência e hospital) e corredor verde.</w:t>
      </w:r>
    </w:p>
    <w:p>
      <w:pPr>
        <w:numPr>
          <w:ilvl w:val="0"/>
          <w:numId w:val="1001"/>
        </w:numPr>
        <w:pStyle w:val="Compact"/>
      </w:pPr>
      <w:r>
        <w:t xml:space="preserve">Resolução de conflito quando duas emergências disputam o mesmo cruzamento.</w:t>
      </w:r>
    </w:p>
    <w:p>
      <w:pPr>
        <w:numPr>
          <w:ilvl w:val="0"/>
          <w:numId w:val="1001"/>
        </w:numPr>
        <w:pStyle w:val="Compact"/>
      </w:pPr>
      <w:r>
        <w:t xml:space="preserve">Simulação de falha de semáforo, com desvio das rotas de emergência.</w:t>
      </w:r>
    </w:p>
    <w:p>
      <w:pPr>
        <w:numPr>
          <w:ilvl w:val="0"/>
          <w:numId w:val="1001"/>
        </w:numPr>
        <w:pStyle w:val="Compact"/>
      </w:pPr>
      <w:r>
        <w:t xml:space="preserve">Log de eventos que mostra qual regra foi cumprida em cada evento.</w:t>
      </w:r>
    </w:p>
    <w:p>
      <w:pPr>
        <w:pStyle w:val="FirstParagraph"/>
      </w:pPr>
      <w:r>
        <w:t xml:space="preserve">Premissas</w:t>
      </w:r>
    </w:p>
    <w:p>
      <w:pPr>
        <w:numPr>
          <w:ilvl w:val="0"/>
          <w:numId w:val="1002"/>
        </w:numPr>
        <w:pStyle w:val="Compact"/>
      </w:pPr>
      <w:r>
        <w:t xml:space="preserve">Tudo acontece dentro do software: semáforos, viaturas, carros e hospitais são simulados. Não há hardware nem botões físicos.</w:t>
      </w:r>
    </w:p>
    <w:p>
      <w:pPr>
        <w:numPr>
          <w:ilvl w:val="0"/>
          <w:numId w:val="1002"/>
        </w:numPr>
        <w:pStyle w:val="Compact"/>
      </w:pPr>
      <w:r>
        <w:t xml:space="preserve">A lógica (entidades, regras de negócio e API) é escrita em C# com ASP.NET Core. A maquete é feita em React e conversa com a API.</w:t>
      </w:r>
    </w:p>
    <w:p>
      <w:pPr>
        <w:numPr>
          <w:ilvl w:val="0"/>
          <w:numId w:val="1002"/>
        </w:numPr>
        <w:pStyle w:val="Compact"/>
      </w:pPr>
      <w:r>
        <w:t xml:space="preserve">A maquete consulta o estado dos semáforos e das viaturas a cada 250 ms.</w:t>
      </w:r>
    </w:p>
    <w:p>
      <w:pPr>
        <w:numPr>
          <w:ilvl w:val="0"/>
          <w:numId w:val="1002"/>
        </w:numPr>
        <w:pStyle w:val="Compact"/>
      </w:pPr>
      <w:r>
        <w:t xml:space="preserve">Não há login nem perfis de usuário: quem abre a maquete usa todas as funções.</w:t>
      </w:r>
    </w:p>
    <w:p>
      <w:pPr>
        <w:numPr>
          <w:ilvl w:val="0"/>
          <w:numId w:val="1002"/>
        </w:numPr>
        <w:pStyle w:val="Compact"/>
      </w:pPr>
      <w:r>
        <w:t xml:space="preserve">Os dados ficam em memória durante a execução; ao reiniciar, a maquete volta ao estado inicial.</w:t>
      </w:r>
    </w:p>
    <w:p>
      <w:pPr>
        <w:numPr>
          <w:ilvl w:val="0"/>
          <w:numId w:val="1002"/>
        </w:numPr>
        <w:pStyle w:val="Compact"/>
      </w:pPr>
      <w:r>
        <w:t xml:space="preserve">O relógio do sistema é injetável (TimeProvider do .NET), para que os testes avancem o tempo sem esperar de verdade.</w:t>
      </w:r>
    </w:p>
    <w:p>
      <w:pPr>
        <w:numPr>
          <w:ilvl w:val="0"/>
          <w:numId w:val="1002"/>
        </w:numPr>
        <w:pStyle w:val="Compact"/>
      </w:pPr>
      <w:r>
        <w:t xml:space="preserve">O tamanho da malha, os tempos e a posição dos hospitais e das bases ficam no appsettings.json.</w:t>
      </w:r>
    </w:p>
    <w:p>
      <w:pPr>
        <w:pStyle w:val="FirstParagraph"/>
      </w:pPr>
      <w:r>
        <w:t xml:space="preserve">Pontos fixos da maquete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00"/>
        <w:gridCol w:w="1500"/>
        <w:gridCol w:w="4871"/>
      </w:tblGrid>
      <w:tr>
        <w:trPr>
          <w:tblHeader w:val="true"/>
        </w:trPr>
        <w:tc>
          <w:tcPr>
            <w:tcW w:type="dxa" w:w="27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Ponto</w:t>
            </w:r>
          </w:p>
        </w:tc>
        <w:tc>
          <w:tcPr>
            <w:tcW w:type="dxa" w:w="15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Cruzamento</w:t>
            </w:r>
          </w:p>
        </w:tc>
        <w:tc>
          <w:tcPr>
            <w:tcW w:type="dxa" w:w="48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Função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Hospital Norte</w:t>
            </w:r>
          </w:p>
        </w:tc>
        <w:tc>
          <w:tcPr>
            <w:tcW w:type="dxa" w:w="15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C3</w:t>
            </w:r>
          </w:p>
        </w:tc>
        <w:tc>
          <w:tcPr>
            <w:tcW w:type="dxa" w:w="48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Destino do trecho 2 quando é o hospital mais próximo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Hospital Sul</w:t>
            </w:r>
          </w:p>
        </w:tc>
        <w:tc>
          <w:tcPr>
            <w:tcW w:type="dxa" w:w="15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C18</w:t>
            </w:r>
          </w:p>
        </w:tc>
        <w:tc>
          <w:tcPr>
            <w:tcW w:type="dxa" w:w="48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Destino do trecho 2 quando é o hospital mais próximo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Base do SAMU</w:t>
            </w:r>
          </w:p>
        </w:tc>
        <w:tc>
          <w:tcPr>
            <w:tcW w:type="dxa" w:w="15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C11</w:t>
            </w:r>
          </w:p>
        </w:tc>
        <w:tc>
          <w:tcPr>
            <w:tcW w:type="dxa" w:w="48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AMB-01 sai em patrulha; AMB-02 fica de reserva</w:t>
            </w:r>
          </w:p>
        </w:tc>
      </w:tr>
      <w:tr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Quartel dos Bombeiros</w:t>
            </w:r>
          </w:p>
        </w:tc>
        <w:tc>
          <w:tcPr>
            <w:tcW w:type="dxa" w:w="15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C20</w:t>
            </w:r>
          </w:p>
        </w:tc>
        <w:tc>
          <w:tcPr>
            <w:tcW w:type="dxa" w:w="48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BOM-01 sai em patrulha; BOM-02 fica de reserva</w:t>
            </w:r>
          </w:p>
        </w:tc>
      </w:tr>
    </w:tbl>
    <w:bookmarkEnd w:id="21"/>
    <w:bookmarkStart w:id="22" w:name="atores"/>
    <w:p>
      <w:pPr>
        <w:pStyle w:val="Heading2"/>
      </w:pPr>
      <w:r>
        <w:t xml:space="preserve">3. Atores</w:t>
      </w:r>
    </w:p>
    <w:p>
      <w:pPr>
        <w:pStyle w:val="FirstParagraph"/>
      </w:pPr>
      <w:r>
        <w:t xml:space="preserve">O sistema não aparece como ator: cada caso de uso é disparado por um ator externo a ele.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1500"/>
        <w:gridCol w:w="5171"/>
      </w:tblGrid>
      <w:tr>
        <w:trPr>
          <w:tblHeader w:val="true"/>
        </w:trPr>
        <w:tc>
          <w:tcPr>
            <w:tcW w:type="dxa" w:w="24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Ator</w:t>
            </w:r>
          </w:p>
        </w:tc>
        <w:tc>
          <w:tcPr>
            <w:tcW w:type="dxa" w:w="15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Tipo</w:t>
            </w:r>
          </w:p>
        </w:tc>
        <w:tc>
          <w:tcPr>
            <w:tcW w:type="dxa" w:w="51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Papel</w:t>
            </w:r>
          </w:p>
        </w:tc>
      </w:tr>
      <w:tr>
        <w:tc>
          <w:tcPr>
            <w:tcW w:type="dxa" w:w="2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15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Humano</w:t>
            </w:r>
          </w:p>
        </w:tc>
        <w:tc>
          <w:tcPr>
            <w:tcW w:type="dxa" w:w="51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Registra emergências, pode assumir a direção da AMB-01, simula falhas e consulta o log</w:t>
            </w:r>
          </w:p>
        </w:tc>
      </w:tr>
      <w:tr>
        <w:tc>
          <w:tcPr>
            <w:tcW w:type="dxa" w:w="2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Temporizador</w:t>
            </w:r>
          </w:p>
        </w:tc>
        <w:tc>
          <w:tcPr>
            <w:tcW w:type="dxa" w:w="15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Tempo</w:t>
            </w:r>
          </w:p>
        </w:tc>
        <w:tc>
          <w:tcPr>
            <w:tcW w:type="dxa" w:w="51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Avança o relógio da simulação: ciclo dos semáforos e tempo de atendimento</w:t>
            </w:r>
          </w:p>
        </w:tc>
      </w:tr>
    </w:tbl>
    <w:bookmarkEnd w:id="22"/>
    <w:bookmarkStart w:id="23" w:name="regras-de-negócio"/>
    <w:p>
      <w:pPr>
        <w:pStyle w:val="Heading2"/>
      </w:pPr>
      <w:r>
        <w:t xml:space="preserve">4. Regras de negócio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0"/>
        <w:gridCol w:w="8071"/>
      </w:tblGrid>
      <w:tr>
        <w:trPr>
          <w:tblHeader w:val="true"/>
        </w:trPr>
        <w:tc>
          <w:tcPr>
            <w:tcW w:type="dxa" w:w="10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ID</w:t>
            </w:r>
          </w:p>
        </w:tc>
        <w:tc>
          <w:tcPr>
            <w:tcW w:type="dxa" w:w="80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Regra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RN01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Em um cruzamento, as direções Norte-Sul e Leste-Oeste nunca ficam em verde ao mesmo tempo.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RN02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Toda troca de verde para vermelho passa por amarelo de 2 s.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RN03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Fora de um corredor, cada semáforo alterna as direções em ciclo fixo: 8 s de verde e 2 s de amarelo para cada uma.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RN04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Ao registrar uma emergência da ambulância, a rota tem dois trechos: da posição atual até o local da ocorrência e, de lá, até o hospital mais próximo.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RN05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Cada trecho segue o menor caminho pelas ruas, contado em quarteirões, sem passar por semáforos em falha.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RN06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Ao iniciar um trecho, todos os cruzamentos dele abrem corredor verde: ficam verdes na direção em que a viatura vai chegar. O trecho até o hospital abre quando o atendimento termina.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RN07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Nenhuma viatura ou carro comum atravessa um cruzamento com vermelho ou amarelo; quem chega espera o verde.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RN08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Depois que a viatura passa por um cruzamento do corredor, ele volta ao ciclo normal.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RN09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No local da ocorrência, a viatura fica 4 s em atendimento. A ambulância então segue ao hospital; ao chegar, a ocorrência é encerrada.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RN10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Se a viatura sair da rota, a rota é recalculada a partir da posição atual, e os cruzamentos que saíram do trajeto voltam ao ciclo normal.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RN11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 viatura dos bombeiros segue apenas até o local da ocorrência; só a ambulância segue ao hospital.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RN12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Quando dois corredores pedem direções diferentes no mesmo cruzamento, passa primeiro a ocorrência de maior criticidade (1 risco de vida, 2 urgente, 3 padrão); em empate, a registrada primeiro.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RN13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Um semáforo em falha fica em amarelo piscante: os veículos param e seguem com cautela, e as rotas de emergência desviam dele. Sem caminho possível, a viatura é avisada e aguarda.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RN14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Toda ocorrência, abertura e liberação de corredor, desvio, conflito e falha é registrada no log de eventos.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RN15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 emergência vai para a viatura livre do tipo pedido mais perto do local (menor caminho em quarteirões): a da patrulha, se ela estiver mais perto, ou a de reserva, se o local for mais perto da base; em empate, vai a da patrulha. Sem viatura livre, o pedido é recusado. Ao terminar o serviço, a viatura da patrulha volta a patrulhar de onde está, e a de reserva volta para a base sem corredor verde.</w:t>
            </w:r>
          </w:p>
        </w:tc>
      </w:tr>
    </w:tbl>
    <w:p>
      <w:pPr>
        <w:pStyle w:val="BodyText"/>
      </w:pPr>
      <w:r>
        <w:t xml:space="preserve">Os tempos são da maquete, ficam no appsettings.json e podem ser ajustados com o professor.</w:t>
      </w:r>
    </w:p>
    <w:bookmarkEnd w:id="23"/>
    <w:bookmarkStart w:id="24" w:name="requisitos-funcionais"/>
    <w:p>
      <w:pPr>
        <w:pStyle w:val="Heading2"/>
      </w:pPr>
      <w:r>
        <w:t xml:space="preserve">5. Requisitos funcionais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00"/>
        <w:gridCol w:w="2700"/>
        <w:gridCol w:w="2100"/>
        <w:gridCol w:w="3371"/>
      </w:tblGrid>
      <w:tr>
        <w:trPr>
          <w:tblHeader w:val="true"/>
        </w:trPr>
        <w:tc>
          <w:tcPr>
            <w:tcW w:type="dxa" w:w="9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ID</w:t>
            </w:r>
          </w:p>
        </w:tc>
        <w:tc>
          <w:tcPr>
            <w:tcW w:type="dxa" w:w="27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Caso de uso</w:t>
            </w:r>
          </w:p>
        </w:tc>
        <w:tc>
          <w:tcPr>
            <w:tcW w:type="dxa" w:w="21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Ator principal</w:t>
            </w:r>
          </w:p>
        </w:tc>
        <w:tc>
          <w:tcPr>
            <w:tcW w:type="dxa" w:w="33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Resumo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UC01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Dirigir ou patrulhar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As viaturas livres circulam sozinhas; o usuário pode assumir a AMB-01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UC02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Operar o ciclo dos semáforos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Temporizador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Alterna as direções de cada cruzamento no tempo certo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UC03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Registrar emergência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Escolhe a criticidade e clica no local da ocorrência no mapa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UC04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Abrir corredor verde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Calcula a rota e abre todos os cruzamentos do trecho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UC05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Atender a ocorrência e encerrar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Temporizador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Atendimento no local, trecho até o hospital e fim do serviço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UC06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Liberar cruzamento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 cruzamento volta ao ciclo normal depois da passagem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UC07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Recalcular rota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 viatura saiu da rota e o trajeto é refeito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UC08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Resolver conflito entre emergências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Dois corredores pedem direções diferentes no mesmo cruzamento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UC09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Simular falha de semáforo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Liga ou desliga a falha de um cruzamento com um clique</w:t>
            </w:r>
          </w:p>
        </w:tc>
      </w:tr>
      <w:tr>
        <w:tc>
          <w:tcPr>
            <w:tcW w:type="dxa" w:w="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UC10</w:t>
            </w:r>
          </w:p>
        </w:tc>
        <w:tc>
          <w:tcPr>
            <w:tcW w:type="dxa" w:w="27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Consultar log de eventos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Usuário da maquete</w:t>
            </w:r>
          </w:p>
        </w:tc>
        <w:tc>
          <w:tcPr>
            <w:tcW w:type="dxa" w:w="33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Painel com os eventos e a regra que cada um cumpre</w:t>
            </w:r>
          </w:p>
        </w:tc>
      </w:tr>
    </w:tbl>
    <w:p>
      <w:pPr>
        <w:pStyle w:val="BodyText"/>
      </w:pPr>
      <w:r>
        <w:t xml:space="preserve">Casos críticos para a segurança: UC02, UC04, UC06, UC07, UC08 e UC09.</w:t>
      </w:r>
    </w:p>
    <w:bookmarkEnd w:id="24"/>
    <w:bookmarkStart w:id="35" w:name="casos-de-uso-detalhados"/>
    <w:p>
      <w:pPr>
        <w:pStyle w:val="Heading2"/>
      </w:pPr>
      <w:r>
        <w:t xml:space="preserve">6. Casos de uso detalhados</w:t>
      </w:r>
    </w:p>
    <w:p>
      <w:pPr>
        <w:pStyle w:val="FirstParagraph"/>
      </w:pPr>
      <w:r>
        <w:t xml:space="preserve">Cada caso de uso traz o fluxo principal e os fluxos secundários mais relevantes.</w:t>
      </w:r>
    </w:p>
    <w:bookmarkStart w:id="25" w:name="uc01---dirigir-ou-patrulhar"/>
    <w:p>
      <w:pPr>
        <w:pStyle w:val="Heading3"/>
      </w:pPr>
      <w:r>
        <w:t xml:space="preserve">UC01 - Dirigir ou patrulhar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03"/>
        </w:numPr>
        <w:pStyle w:val="Compact"/>
      </w:pPr>
      <w:r>
        <w:t xml:space="preserve">Sem ninguém dirigindo, a viatura livre escolhe uma rua ao acaso em cada cruzamento.</w:t>
      </w:r>
    </w:p>
    <w:p>
      <w:pPr>
        <w:numPr>
          <w:ilvl w:val="0"/>
          <w:numId w:val="1003"/>
        </w:numPr>
        <w:pStyle w:val="Compact"/>
      </w:pPr>
      <w:r>
        <w:t xml:space="preserve">A viatura segue até o próximo cruzamento, respeitando o semáforo (RN07), e informa a chegada à API.</w:t>
      </w:r>
    </w:p>
    <w:p>
      <w:pPr>
        <w:numPr>
          <w:ilvl w:val="0"/>
          <w:numId w:val="1003"/>
        </w:numPr>
        <w:pStyle w:val="Compact"/>
      </w:pPr>
      <w:r>
        <w:t xml:space="preserve">O usuário pode assumir a AMB-01 com as setas ou os botões da tela e dirigir para onde quiser.</w:t>
      </w:r>
    </w:p>
    <w:p>
      <w:pPr>
        <w:pStyle w:val="FirstParagraph"/>
      </w:pPr>
      <w:r>
        <w:t xml:space="preserve">Fluxos secundários</w:t>
      </w:r>
    </w:p>
    <w:p>
      <w:pPr>
        <w:numPr>
          <w:ilvl w:val="0"/>
          <w:numId w:val="1004"/>
        </w:numPr>
        <w:pStyle w:val="Compact"/>
      </w:pPr>
      <w:r>
        <w:t xml:space="preserve">Semáforo fechado na direção da viatura: ela para na faixa e espera o verde (RN07).</w:t>
      </w:r>
    </w:p>
    <w:p>
      <w:pPr>
        <w:numPr>
          <w:ilvl w:val="0"/>
          <w:numId w:val="1004"/>
        </w:numPr>
        <w:pStyle w:val="Compact"/>
      </w:pPr>
      <w:r>
        <w:t xml:space="preserve">O usuário desmarca</w:t>
      </w:r>
      <w:r>
        <w:t xml:space="preserve"> </w:t>
      </w:r>
      <w:r>
        <w:t xml:space="preserve">“</w:t>
      </w:r>
      <w:r>
        <w:t xml:space="preserve">Eu dirijo a AMB-01</w:t>
      </w:r>
      <w:r>
        <w:t xml:space="preserve">”</w:t>
      </w:r>
      <w:r>
        <w:t xml:space="preserve">: ela volta a patrulhar sozinha.</w:t>
      </w:r>
    </w:p>
    <w:bookmarkEnd w:id="25"/>
    <w:bookmarkStart w:id="26" w:name="uc02---operar-o-ciclo-dos-semáforos"/>
    <w:p>
      <w:pPr>
        <w:pStyle w:val="Heading3"/>
      </w:pPr>
      <w:r>
        <w:t xml:space="preserve">UC02 - Operar o ciclo dos semáforos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Temporizador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05"/>
        </w:numPr>
        <w:pStyle w:val="Compact"/>
      </w:pPr>
      <w:r>
        <w:t xml:space="preserve">O temporizador avança o relógio da simulação.</w:t>
      </w:r>
    </w:p>
    <w:p>
      <w:pPr>
        <w:numPr>
          <w:ilvl w:val="0"/>
          <w:numId w:val="1005"/>
        </w:numPr>
        <w:pStyle w:val="Compact"/>
      </w:pPr>
      <w:r>
        <w:t xml:space="preserve">O sistema troca a fase dos cruzamentos que completaram o tempo de verde ou de amarelo (RN02, RN03).</w:t>
      </w:r>
    </w:p>
    <w:p>
      <w:pPr>
        <w:numPr>
          <w:ilvl w:val="0"/>
          <w:numId w:val="1005"/>
        </w:numPr>
        <w:pStyle w:val="Compact"/>
      </w:pPr>
      <w:r>
        <w:t xml:space="preserve">A maquete consulta a API e mostra as novas cores.</w:t>
      </w:r>
    </w:p>
    <w:p>
      <w:pPr>
        <w:pStyle w:val="FirstParagraph"/>
      </w:pPr>
      <w:r>
        <w:t xml:space="preserve">Fluxos secundários</w:t>
      </w:r>
    </w:p>
    <w:p>
      <w:pPr>
        <w:numPr>
          <w:ilvl w:val="0"/>
          <w:numId w:val="1006"/>
        </w:numPr>
        <w:pStyle w:val="Compact"/>
      </w:pPr>
      <w:r>
        <w:t xml:space="preserve">Cruzamento em corredor: a fase fica parada no verde da viatura (RN06).</w:t>
      </w:r>
    </w:p>
    <w:p>
      <w:pPr>
        <w:numPr>
          <w:ilvl w:val="0"/>
          <w:numId w:val="1006"/>
        </w:numPr>
        <w:pStyle w:val="Compact"/>
      </w:pPr>
      <w:r>
        <w:t xml:space="preserve">Cruzamento em falha: fica em amarelo piscante (RN13).</w:t>
      </w:r>
    </w:p>
    <w:bookmarkEnd w:id="26"/>
    <w:bookmarkStart w:id="27" w:name="uc03---registrar-emergência"/>
    <w:p>
      <w:pPr>
        <w:pStyle w:val="Heading3"/>
      </w:pPr>
      <w:r>
        <w:t xml:space="preserve">UC03 - Registrar emergência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07"/>
        </w:numPr>
        <w:pStyle w:val="Compact"/>
      </w:pPr>
      <w:r>
        <w:t xml:space="preserve">O usuário escolhe a criticidade e clica em</w:t>
      </w:r>
      <w:r>
        <w:t xml:space="preserve"> </w:t>
      </w:r>
      <w:r>
        <w:t xml:space="preserve">“</w:t>
      </w:r>
      <w:r>
        <w:t xml:space="preserve">Emergência da ambulância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Emergência dos bombeiros</w:t>
      </w:r>
      <w:r>
        <w:t xml:space="preserve">”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 usuário clica no cruzamento da ocorrência.</w:t>
      </w:r>
    </w:p>
    <w:p>
      <w:pPr>
        <w:numPr>
          <w:ilvl w:val="0"/>
          <w:numId w:val="1007"/>
        </w:numPr>
        <w:pStyle w:val="Compact"/>
      </w:pPr>
      <w:r>
        <w:t xml:space="preserve">O sistema valida os dados, escolhe a viatura livre mais perto do local (RN15) e registra a ocorrência.</w:t>
      </w:r>
    </w:p>
    <w:p>
      <w:pPr>
        <w:pStyle w:val="FirstParagraph"/>
      </w:pPr>
      <w:r>
        <w:t xml:space="preserve">Fluxos secundários</w:t>
      </w:r>
    </w:p>
    <w:p>
      <w:pPr>
        <w:numPr>
          <w:ilvl w:val="0"/>
          <w:numId w:val="1008"/>
        </w:numPr>
        <w:pStyle w:val="Compact"/>
      </w:pPr>
      <w:r>
        <w:t xml:space="preserve">A viatura de reserva está mais perto que a da patrulha: a reserva sai da base e atende (RN15).</w:t>
      </w:r>
    </w:p>
    <w:p>
      <w:pPr>
        <w:numPr>
          <w:ilvl w:val="0"/>
          <w:numId w:val="1008"/>
        </w:numPr>
        <w:pStyle w:val="Compact"/>
      </w:pPr>
      <w:r>
        <w:t xml:space="preserve">Nenhuma viatura livre do tipo pedido: o pedido é recusado com aviso.</w:t>
      </w:r>
    </w:p>
    <w:p>
      <w:pPr>
        <w:numPr>
          <w:ilvl w:val="0"/>
          <w:numId w:val="1008"/>
        </w:numPr>
        <w:pStyle w:val="Compact"/>
      </w:pPr>
      <w:r>
        <w:t xml:space="preserve">Cruzamento inexistente, criticidade fora de 1 a 3 ou tipo de viatura inválido: o pedido é recusado (RNF04).</w:t>
      </w:r>
    </w:p>
    <w:bookmarkEnd w:id="27"/>
    <w:bookmarkStart w:id="28" w:name="uc04---abrir-corredor-verde"/>
    <w:p>
      <w:pPr>
        <w:pStyle w:val="Heading3"/>
      </w:pPr>
      <w:r>
        <w:t xml:space="preserve">UC04 - Abrir corredor verde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09"/>
        </w:numPr>
        <w:pStyle w:val="Compact"/>
      </w:pPr>
      <w:r>
        <w:t xml:space="preserve">O sistema calcula os dois trechos da rota (RN04, RN05).</w:t>
      </w:r>
    </w:p>
    <w:p>
      <w:pPr>
        <w:numPr>
          <w:ilvl w:val="0"/>
          <w:numId w:val="1009"/>
        </w:numPr>
        <w:pStyle w:val="Compact"/>
      </w:pPr>
      <w:r>
        <w:t xml:space="preserve">O sistema abre o corredor em todos os cruzamentos do primeiro trecho (RN06).</w:t>
      </w:r>
    </w:p>
    <w:p>
      <w:pPr>
        <w:numPr>
          <w:ilvl w:val="0"/>
          <w:numId w:val="1009"/>
        </w:numPr>
        <w:pStyle w:val="Compact"/>
      </w:pPr>
      <w:r>
        <w:t xml:space="preserve">A maquete mostra a rota e os cruzamentos abertos.</w:t>
      </w:r>
    </w:p>
    <w:p>
      <w:pPr>
        <w:pStyle w:val="FirstParagraph"/>
      </w:pPr>
      <w:r>
        <w:t xml:space="preserve">Fluxos secundários</w:t>
      </w:r>
    </w:p>
    <w:p>
      <w:pPr>
        <w:numPr>
          <w:ilvl w:val="0"/>
          <w:numId w:val="1010"/>
        </w:numPr>
        <w:pStyle w:val="Compact"/>
      </w:pPr>
      <w:r>
        <w:t xml:space="preserve">Outro corredor pede direção diferente em um cruzamento: segue para o UC08.</w:t>
      </w:r>
    </w:p>
    <w:p>
      <w:pPr>
        <w:numPr>
          <w:ilvl w:val="0"/>
          <w:numId w:val="1010"/>
        </w:numPr>
        <w:pStyle w:val="Compact"/>
      </w:pPr>
      <w:r>
        <w:t xml:space="preserve">Sem caminho possível: a viatura é avisada e aguarda (RN13).</w:t>
      </w:r>
    </w:p>
    <w:bookmarkEnd w:id="28"/>
    <w:bookmarkStart w:id="29" w:name="uc05---atender-a-ocorrência-e-encerrar"/>
    <w:p>
      <w:pPr>
        <w:pStyle w:val="Heading3"/>
      </w:pPr>
      <w:r>
        <w:t xml:space="preserve">UC05 - Atender a ocorrência e encerrar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Temporizador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11"/>
        </w:numPr>
        <w:pStyle w:val="Compact"/>
      </w:pPr>
      <w:r>
        <w:t xml:space="preserve">A viatura chega ao local da ocorrência.</w:t>
      </w:r>
    </w:p>
    <w:p>
      <w:pPr>
        <w:numPr>
          <w:ilvl w:val="0"/>
          <w:numId w:val="1011"/>
        </w:numPr>
        <w:pStyle w:val="Compact"/>
      </w:pPr>
      <w:r>
        <w:t xml:space="preserve">O sistema conta 4 s de atendimento (RN09).</w:t>
      </w:r>
    </w:p>
    <w:p>
      <w:pPr>
        <w:numPr>
          <w:ilvl w:val="0"/>
          <w:numId w:val="1011"/>
        </w:numPr>
        <w:pStyle w:val="Compact"/>
      </w:pPr>
      <w:r>
        <w:t xml:space="preserve">O sistema abre o corredor do trecho até o hospital.</w:t>
      </w:r>
    </w:p>
    <w:p>
      <w:pPr>
        <w:numPr>
          <w:ilvl w:val="0"/>
          <w:numId w:val="1011"/>
        </w:numPr>
        <w:pStyle w:val="Compact"/>
      </w:pPr>
      <w:r>
        <w:t xml:space="preserve">Ao chegar ao hospital, o sistema encerra a ocorrência.</w:t>
      </w:r>
    </w:p>
    <w:p>
      <w:pPr>
        <w:pStyle w:val="FirstParagraph"/>
      </w:pPr>
      <w:r>
        <w:t xml:space="preserve">Fluxos secundários</w:t>
      </w:r>
    </w:p>
    <w:p>
      <w:pPr>
        <w:numPr>
          <w:ilvl w:val="0"/>
          <w:numId w:val="1012"/>
        </w:numPr>
        <w:pStyle w:val="Compact"/>
      </w:pPr>
      <w:r>
        <w:t xml:space="preserve">Viatura dos bombeiros: a ocorrência é encerrada no próprio local (RN11).</w:t>
      </w:r>
    </w:p>
    <w:p>
      <w:pPr>
        <w:numPr>
          <w:ilvl w:val="0"/>
          <w:numId w:val="1012"/>
        </w:numPr>
        <w:pStyle w:val="Compact"/>
      </w:pPr>
      <w:r>
        <w:t xml:space="preserve">Viatura da patrulha: ao terminar, volta a patrulhar de onde está (RN15).</w:t>
      </w:r>
    </w:p>
    <w:p>
      <w:pPr>
        <w:numPr>
          <w:ilvl w:val="0"/>
          <w:numId w:val="1012"/>
        </w:numPr>
        <w:pStyle w:val="Compact"/>
      </w:pPr>
      <w:r>
        <w:t xml:space="preserve">Viatura de reserva: ao terminar, volta para a base sem corredor e fica estacionada (RN15).</w:t>
      </w:r>
    </w:p>
    <w:bookmarkEnd w:id="29"/>
    <w:bookmarkStart w:id="30" w:name="uc06---liberar-cruzamento"/>
    <w:p>
      <w:pPr>
        <w:pStyle w:val="Heading3"/>
      </w:pPr>
      <w:r>
        <w:t xml:space="preserve">UC06 - Liberar cruzamento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13"/>
        </w:numPr>
        <w:pStyle w:val="Compact"/>
      </w:pPr>
      <w:r>
        <w:t xml:space="preserve">A viatura informa que chegou a um cruzamento do corredor.</w:t>
      </w:r>
    </w:p>
    <w:p>
      <w:pPr>
        <w:numPr>
          <w:ilvl w:val="0"/>
          <w:numId w:val="1013"/>
        </w:numPr>
        <w:pStyle w:val="Compact"/>
      </w:pPr>
      <w:r>
        <w:t xml:space="preserve">O sistema retira a reserva do corredor naquele cruzamento (RN08).</w:t>
      </w:r>
    </w:p>
    <w:p>
      <w:pPr>
        <w:numPr>
          <w:ilvl w:val="0"/>
          <w:numId w:val="1013"/>
        </w:numPr>
        <w:pStyle w:val="Compact"/>
      </w:pPr>
      <w:r>
        <w:t xml:space="preserve">O cruzamento volta ao ciclo normal.</w:t>
      </w:r>
    </w:p>
    <w:p>
      <w:pPr>
        <w:pStyle w:val="FirstParagraph"/>
      </w:pPr>
      <w:r>
        <w:t xml:space="preserve">Fluxo secundário</w:t>
      </w:r>
    </w:p>
    <w:p>
      <w:pPr>
        <w:numPr>
          <w:ilvl w:val="0"/>
          <w:numId w:val="1014"/>
        </w:numPr>
        <w:pStyle w:val="Compact"/>
      </w:pPr>
      <w:r>
        <w:t xml:space="preserve">Cruzamento ainda reservado por outra viatura: segue o corredor dela.</w:t>
      </w:r>
    </w:p>
    <w:bookmarkEnd w:id="30"/>
    <w:bookmarkStart w:id="31" w:name="uc07---recalcular-rota"/>
    <w:p>
      <w:pPr>
        <w:pStyle w:val="Heading3"/>
      </w:pPr>
      <w:r>
        <w:t xml:space="preserve">UC07 - Recalcular rota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15"/>
        </w:numPr>
        <w:pStyle w:val="Compact"/>
      </w:pPr>
      <w:r>
        <w:t xml:space="preserve">A viatura sai de um cruzamento por uma rua fora da rota.</w:t>
      </w:r>
    </w:p>
    <w:p>
      <w:pPr>
        <w:numPr>
          <w:ilvl w:val="0"/>
          <w:numId w:val="1015"/>
        </w:numPr>
        <w:pStyle w:val="Compact"/>
      </w:pPr>
      <w:r>
        <w:t xml:space="preserve">O sistema recalcula o trecho a partir do próximo cruzamento (RN10).</w:t>
      </w:r>
    </w:p>
    <w:p>
      <w:pPr>
        <w:numPr>
          <w:ilvl w:val="0"/>
          <w:numId w:val="1015"/>
        </w:numPr>
        <w:pStyle w:val="Compact"/>
      </w:pPr>
      <w:r>
        <w:t xml:space="preserve">O sistema abre o novo corredor e libera os cruzamentos que saíram do trajeto.</w:t>
      </w:r>
    </w:p>
    <w:p>
      <w:pPr>
        <w:pStyle w:val="FirstParagraph"/>
      </w:pPr>
      <w:r>
        <w:t xml:space="preserve">Fluxo secundário</w:t>
      </w:r>
    </w:p>
    <w:p>
      <w:pPr>
        <w:numPr>
          <w:ilvl w:val="0"/>
          <w:numId w:val="1016"/>
        </w:numPr>
        <w:pStyle w:val="Compact"/>
      </w:pPr>
      <w:r>
        <w:t xml:space="preserve">Ninguém está dirigindo a AMB-01: a viatura segue a rota sozinha e não sai dela.</w:t>
      </w:r>
    </w:p>
    <w:bookmarkEnd w:id="31"/>
    <w:bookmarkStart w:id="32" w:name="Xf87f3418a6097c96ff983fa1026efc1a018fe1b"/>
    <w:p>
      <w:pPr>
        <w:pStyle w:val="Heading3"/>
      </w:pPr>
      <w:r>
        <w:t xml:space="preserve">UC08 - Resolver conflito entre emergências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17"/>
        </w:numPr>
        <w:pStyle w:val="Compact"/>
      </w:pPr>
      <w:r>
        <w:t xml:space="preserve">Um segundo corredor reserva um cruzamento já reservado em outra direção.</w:t>
      </w:r>
    </w:p>
    <w:p>
      <w:pPr>
        <w:numPr>
          <w:ilvl w:val="0"/>
          <w:numId w:val="1017"/>
        </w:numPr>
        <w:pStyle w:val="Compact"/>
      </w:pPr>
      <w:r>
        <w:t xml:space="preserve">O sistema compara a criticidade das ocorrências (RN12).</w:t>
      </w:r>
    </w:p>
    <w:p>
      <w:pPr>
        <w:numPr>
          <w:ilvl w:val="0"/>
          <w:numId w:val="1017"/>
        </w:numPr>
        <w:pStyle w:val="Compact"/>
      </w:pPr>
      <w:r>
        <w:t xml:space="preserve">O cruzamento abre para a de maior prioridade; a outra viatura espera no vermelho.</w:t>
      </w:r>
    </w:p>
    <w:p>
      <w:pPr>
        <w:pStyle w:val="FirstParagraph"/>
      </w:pPr>
      <w:r>
        <w:t xml:space="preserve">Fluxos secundários</w:t>
      </w:r>
    </w:p>
    <w:p>
      <w:pPr>
        <w:numPr>
          <w:ilvl w:val="0"/>
          <w:numId w:val="1018"/>
        </w:numPr>
        <w:pStyle w:val="Compact"/>
      </w:pPr>
      <w:r>
        <w:t xml:space="preserve">Criticidades iguais: passa a ocorrência registrada primeiro.</w:t>
      </w:r>
    </w:p>
    <w:p>
      <w:pPr>
        <w:numPr>
          <w:ilvl w:val="0"/>
          <w:numId w:val="1018"/>
        </w:numPr>
        <w:pStyle w:val="Compact"/>
      </w:pPr>
      <w:r>
        <w:t xml:space="preserve">Corredores na mesma direção: não há conflito, o cruzamento fica verde para os dois.</w:t>
      </w:r>
    </w:p>
    <w:bookmarkEnd w:id="32"/>
    <w:bookmarkStart w:id="33" w:name="uc09---simular-falha-de-semáforo"/>
    <w:p>
      <w:pPr>
        <w:pStyle w:val="Heading3"/>
      </w:pPr>
      <w:r>
        <w:t xml:space="preserve">UC09 - Simular falha de semáforo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19"/>
        </w:numPr>
        <w:pStyle w:val="Compact"/>
      </w:pPr>
      <w:r>
        <w:t xml:space="preserve">O usuário clica em</w:t>
      </w:r>
      <w:r>
        <w:t xml:space="preserve"> </w:t>
      </w:r>
      <w:r>
        <w:t xml:space="preserve">“</w:t>
      </w:r>
      <w:r>
        <w:t xml:space="preserve">Simular falha</w:t>
      </w:r>
      <w:r>
        <w:t xml:space="preserve">”</w:t>
      </w:r>
      <w:r>
        <w:t xml:space="preserve"> </w:t>
      </w:r>
      <w:r>
        <w:t xml:space="preserve">e depois em um cruzamento.</w:t>
      </w:r>
    </w:p>
    <w:p>
      <w:pPr>
        <w:numPr>
          <w:ilvl w:val="0"/>
          <w:numId w:val="1019"/>
        </w:numPr>
        <w:pStyle w:val="Compact"/>
      </w:pPr>
      <w:r>
        <w:t xml:space="preserve">O sistema coloca o semáforo em amarelo piscante (RN13).</w:t>
      </w:r>
    </w:p>
    <w:p>
      <w:pPr>
        <w:numPr>
          <w:ilvl w:val="0"/>
          <w:numId w:val="1019"/>
        </w:numPr>
        <w:pStyle w:val="Compact"/>
      </w:pPr>
      <w:r>
        <w:t xml:space="preserve">O sistema recalcula as rotas de emergência que passavam por ele.</w:t>
      </w:r>
    </w:p>
    <w:p>
      <w:pPr>
        <w:pStyle w:val="FirstParagraph"/>
      </w:pPr>
      <w:r>
        <w:t xml:space="preserve">Fluxo secundário</w:t>
      </w:r>
    </w:p>
    <w:p>
      <w:pPr>
        <w:numPr>
          <w:ilvl w:val="0"/>
          <w:numId w:val="1020"/>
        </w:numPr>
        <w:pStyle w:val="Compact"/>
      </w:pPr>
      <w:r>
        <w:t xml:space="preserve">Clique em um cruzamento já em falha: a falha é desligada e o ciclo normal recomeça.</w:t>
      </w:r>
    </w:p>
    <w:bookmarkEnd w:id="33"/>
    <w:bookmarkStart w:id="34" w:name="uc10---consultar-log-de-eventos"/>
    <w:p>
      <w:pPr>
        <w:pStyle w:val="Heading3"/>
      </w:pPr>
      <w:r>
        <w:t xml:space="preserve">UC10 - Consultar log de eventos</w:t>
      </w:r>
    </w:p>
    <w:p>
      <w:pPr>
        <w:pStyle w:val="FirstParagraph"/>
      </w:pPr>
      <w:r>
        <w:rPr>
          <w:bCs/>
          <w:b/>
        </w:rPr>
        <w:t xml:space="preserve">Ator principal:</w:t>
      </w:r>
      <w:r>
        <w:t xml:space="preserve"> </w:t>
      </w:r>
      <w:r>
        <w:t xml:space="preserve">Usuário da maquete</w:t>
      </w:r>
    </w:p>
    <w:p>
      <w:pPr>
        <w:pStyle w:val="BodyText"/>
      </w:pPr>
      <w:r>
        <w:t xml:space="preserve">Fluxo principal</w:t>
      </w:r>
    </w:p>
    <w:p>
      <w:pPr>
        <w:numPr>
          <w:ilvl w:val="0"/>
          <w:numId w:val="1021"/>
        </w:numPr>
        <w:pStyle w:val="Compact"/>
      </w:pPr>
      <w:r>
        <w:t xml:space="preserve">O usuário abre a aba Log.</w:t>
      </w:r>
    </w:p>
    <w:p>
      <w:pPr>
        <w:numPr>
          <w:ilvl w:val="0"/>
          <w:numId w:val="1021"/>
        </w:numPr>
        <w:pStyle w:val="Compact"/>
      </w:pPr>
      <w:r>
        <w:t xml:space="preserve">O sistema lista os eventos do mais recente ao mais antigo, com a regra de cada um.</w:t>
      </w:r>
    </w:p>
    <w:p>
      <w:pPr>
        <w:numPr>
          <w:ilvl w:val="0"/>
          <w:numId w:val="1021"/>
        </w:numPr>
        <w:pStyle w:val="Compact"/>
      </w:pPr>
      <w:r>
        <w:t xml:space="preserve">O usuário filtra por um requisito.</w:t>
      </w:r>
    </w:p>
    <w:p>
      <w:pPr>
        <w:pStyle w:val="FirstParagraph"/>
      </w:pPr>
      <w:r>
        <w:t xml:space="preserve">Fluxo secundário</w:t>
      </w:r>
    </w:p>
    <w:p>
      <w:pPr>
        <w:numPr>
          <w:ilvl w:val="0"/>
          <w:numId w:val="1022"/>
        </w:numPr>
        <w:pStyle w:val="Compact"/>
      </w:pPr>
      <w:r>
        <w:t xml:space="preserve">Nenhum evento no filtro: o painel informa que não há registros.</w:t>
      </w:r>
    </w:p>
    <w:bookmarkEnd w:id="34"/>
    <w:bookmarkEnd w:id="35"/>
    <w:bookmarkStart w:id="36" w:name="Xd1689a5f1b4c2c154336c0017f225d9bebd1d66"/>
    <w:p>
      <w:pPr>
        <w:pStyle w:val="Heading2"/>
      </w:pPr>
      <w:r>
        <w:t xml:space="preserve">7. Requisitos não funcionais e atributos de qualidade</w:t>
      </w:r>
    </w:p>
    <w:p>
      <w:pPr>
        <w:pStyle w:val="FirstParagraph"/>
      </w:pPr>
      <w:r>
        <w:t xml:space="preserve">A ordem de prioridade é Confiabilidade &gt; Segurança &gt; Eficiência &gt; Usabilidade &gt; Manutenibilidade &gt; Portabilidade. No mundo real, uma falha neste tipo de sistema pode causar acidente ou atrasar um socorro; por isso a maquete trata confiabilidade como prioridade, mesmo sendo uma simulação.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0"/>
        <w:gridCol w:w="1650"/>
        <w:gridCol w:w="1250"/>
        <w:gridCol w:w="3221"/>
        <w:gridCol w:w="2100"/>
      </w:tblGrid>
      <w:tr>
        <w:trPr>
          <w:tblHeader w:val="true"/>
        </w:trPr>
        <w:tc>
          <w:tcPr>
            <w:tcW w:type="dxa" w:w="85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ID</w:t>
            </w:r>
          </w:p>
        </w:tc>
        <w:tc>
          <w:tcPr>
            <w:tcW w:type="dxa" w:w="165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Atributo</w:t>
            </w:r>
          </w:p>
        </w:tc>
        <w:tc>
          <w:tcPr>
            <w:tcW w:type="dxa" w:w="125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Prioridade</w:t>
            </w:r>
          </w:p>
        </w:tc>
        <w:tc>
          <w:tcPr>
            <w:tcW w:type="dxa" w:w="322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Requisito mensurável</w:t>
            </w:r>
          </w:p>
        </w:tc>
        <w:tc>
          <w:tcPr>
            <w:tcW w:type="dxa" w:w="21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Como será verificado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RNF01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Confiabilidade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Crítica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Nenhum cenário de teste resulta em verde nas duas direções de um cruzamento ao mesmo tempo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 xUnit sobre a RN01 e simulação do RNF02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RNF02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Confiabilidade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Crítica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Uma simulação de 1 hora (tempo simulado) com emergências e falhas aleatórias roda sem exceção e sem violar a RN01 e a RN02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 xUnit com relógio simulado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RNF03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Confiabilidade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Sem caminho possível, o sistema avisa a viatura e continua funcionando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 xUnit com cruzamentos bloqueados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RNF04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Segurança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 API recusa dados inválidos (cruzamento inexistente, criticidade fora de 1 a 3, tipo de viatura inválido) e pedidos sem viatura livre, sem alterar o estado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Testes de integração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RNF05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Segurança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Média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 log de eventos não pode ser editado nem apagado pela API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 de integração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RNF06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Eficiência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 corredor fica todo verde em até 2 s após o registro da emergência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 xUnit com relógio simulado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RNF07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Eficiência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 cálculo de uma rota leva no máximo 50 ms na malha de 20 cruzamentos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 xUnit com Stopwatch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RNF08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Eficiência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Média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 maquete mostra a troca de um semáforo em até 1 s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Roteiro de teste manual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RNF09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Usabilidade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Média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Registrar uma emergência leva no máximo 2 cliques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Roteiro de teste manual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RNF10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Usabilidade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Média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Rota, corredor, ocorrência e falha têm cor própria e aparecem na legenda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Roteiro de teste manual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RNF11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Manutenibilidade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Média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Cobertura de testes de 80% nas regras de negócio (RN01 a RN13)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Relatório do coverlet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RNF12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Manutenibilidade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Baixa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Tempos de verde, amarelo e atendimento e o tamanho da malha ficam no appsettings.json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Teste xUnit com configuração alterada</w:t>
            </w:r>
          </w:p>
        </w:tc>
      </w:tr>
      <w:tr>
        <w:tc>
          <w:tcPr>
            <w:tcW w:type="dxa" w:w="8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RNF13</w:t>
            </w:r>
          </w:p>
        </w:tc>
        <w:tc>
          <w:tcPr>
            <w:tcW w:type="dxa" w:w="16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Portabilidade</w:t>
            </w:r>
          </w:p>
        </w:tc>
        <w:tc>
          <w:tcPr>
            <w:tcW w:type="dxa" w:w="125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Baixa</w:t>
            </w:r>
          </w:p>
        </w:tc>
        <w:tc>
          <w:tcPr>
            <w:tcW w:type="dxa" w:w="322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Os testes passam em Windows e Linux, e a maquete abre no Chrome, Edge e Firefox</w:t>
            </w:r>
          </w:p>
        </w:tc>
        <w:tc>
          <w:tcPr>
            <w:tcW w:type="dxa" w:w="21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GitHub Actions e roteiro manual</w:t>
            </w:r>
          </w:p>
        </w:tc>
      </w:tr>
    </w:tbl>
    <w:p>
      <w:pPr>
        <w:pStyle w:val="BodyText"/>
      </w:pPr>
      <w:r>
        <w:t xml:space="preserve">Os valores numéricos são propostas iniciais, a validar com o professor.</w:t>
      </w:r>
    </w:p>
    <w:bookmarkEnd w:id="36"/>
    <w:bookmarkStart w:id="39" w:name="plano-de-qualidade-preliminar"/>
    <w:p>
      <w:pPr>
        <w:pStyle w:val="Heading2"/>
      </w:pPr>
      <w:r>
        <w:t xml:space="preserve">8. Plano de qualidade preliminar</w:t>
      </w:r>
    </w:p>
    <w:bookmarkStart w:id="37" w:name="critérios-de-aceitação"/>
    <w:p>
      <w:pPr>
        <w:pStyle w:val="Heading3"/>
      </w:pPr>
      <w:r>
        <w:t xml:space="preserve">8.1 Critérios de aceitação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0"/>
        <w:gridCol w:w="8071"/>
      </w:tblGrid>
      <w:tr>
        <w:trPr>
          <w:tblHeader w:val="true"/>
        </w:trPr>
        <w:tc>
          <w:tcPr>
            <w:tcW w:type="dxa" w:w="10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ID</w:t>
            </w:r>
          </w:p>
        </w:tc>
        <w:tc>
          <w:tcPr>
            <w:tcW w:type="dxa" w:w="80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Critério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CA01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100% dos casos de teste dos casos de uso críticos (UC02, UC04, UC06, UC07, UC08 e UC09) aprovados.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CA02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Nenhum defeito de severidade crítica ou alta em aberto na entrega final.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CA03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RNF01 a RNF07 e RNF12 comprovados por testes automatizados no xUnit.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CA04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RNF08, RNF09, RNF10 e a parte da maquete do RNF13 comprovados por roteiro de teste manual executado e registrado pelo grupo.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CA05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Cobertura mínima de 80% nas regras de negócio (RNF11).</w:t>
            </w:r>
          </w:p>
        </w:tc>
      </w:tr>
      <w:tr>
        <w:tc>
          <w:tcPr>
            <w:tcW w:type="dxa" w:w="1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CA06</w:t>
            </w:r>
          </w:p>
        </w:tc>
        <w:tc>
          <w:tcPr>
            <w:tcW w:type="dxa" w:w="80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Todo caso de uso e todo RNF ligado a pelo menos um caso de teste na matriz de rastreabilidade.</w:t>
            </w:r>
          </w:p>
        </w:tc>
      </w:tr>
    </w:tbl>
    <w:bookmarkEnd w:id="37"/>
    <w:bookmarkStart w:id="38" w:name="rastreabilidade-inicial"/>
    <w:p>
      <w:pPr>
        <w:pStyle w:val="Heading3"/>
      </w:pPr>
      <w:r>
        <w:t xml:space="preserve">8.2 Rastreabilidade inicial</w:t>
      </w:r>
    </w:p>
    <w:p>
      <w:pPr>
        <w:pStyle w:val="FirstParagraph"/>
      </w:pPr>
      <w:r>
        <w:t xml:space="preserve">A matriz liga cada caso de uso às regras e aos requisitos não funcionais que ele precisa atender. Os casos de teste serão acrescentados na 2ª entrega.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00"/>
        <w:gridCol w:w="3300"/>
        <w:gridCol w:w="2900"/>
        <w:gridCol w:w="1471"/>
      </w:tblGrid>
      <w:tr>
        <w:trPr>
          <w:tblHeader w:val="true"/>
        </w:trPr>
        <w:tc>
          <w:tcPr>
            <w:tcW w:type="dxa" w:w="14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Caso de uso</w:t>
            </w:r>
          </w:p>
        </w:tc>
        <w:tc>
          <w:tcPr>
            <w:tcW w:type="dxa" w:w="33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Regras de negócio</w:t>
            </w:r>
          </w:p>
        </w:tc>
        <w:tc>
          <w:tcPr>
            <w:tcW w:type="dxa" w:w="29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RNFs</w:t>
            </w:r>
          </w:p>
        </w:tc>
        <w:tc>
          <w:tcPr>
            <w:tcW w:type="dxa" w:w="14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Risco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UC01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RN07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RNF08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Médio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UC02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RN01, RN02, RN03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RNF01, RNF02, RNF12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Crítico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UC03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RN04, RN11, RN14, RN15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RNF04, RNF09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UC04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RN04, RN05, RN06, RN14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RNF06, RNF07, RNF10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Crítico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UC05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RN06, RN09, RN11, RN15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RNF06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UC06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RN08, RN14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RNF01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UC07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RN05, RN10, RN14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RNF07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UC08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RN12, RN14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RNF01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Crítico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UC09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RN13, RN14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RNF03, RNF10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Alto</w:t>
            </w:r>
          </w:p>
        </w:tc>
      </w:tr>
      <w:tr>
        <w:tc>
          <w:tcPr>
            <w:tcW w:type="dxa" w:w="14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UC10</w:t>
            </w:r>
          </w:p>
        </w:tc>
        <w:tc>
          <w:tcPr>
            <w:tcW w:type="dxa" w:w="3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RN14</w:t>
            </w:r>
          </w:p>
        </w:tc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RNF05</w:t>
            </w:r>
          </w:p>
        </w:tc>
        <w:tc>
          <w:tcPr>
            <w:tcW w:type="dxa" w:w="14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Baixo</w:t>
            </w:r>
          </w:p>
        </w:tc>
      </w:tr>
    </w:tbl>
    <w:bookmarkEnd w:id="38"/>
    <w:bookmarkEnd w:id="39"/>
    <w:bookmarkStart w:id="43" w:name="estratégia-geral-de-testes"/>
    <w:p>
      <w:pPr>
        <w:pStyle w:val="Heading2"/>
      </w:pPr>
      <w:r>
        <w:t xml:space="preserve">9. Estratégia geral de testes</w:t>
      </w:r>
    </w:p>
    <w:p>
      <w:pPr>
        <w:pStyle w:val="FirstParagraph"/>
      </w:pPr>
      <w:r>
        <w:t xml:space="preserve">A estratégia é baseada em risco: os cenários que no mundo real poderiam causar acidente (verde nas duas direções, corredor que não abre, conflito mal resolvido, falha de semáforo) são testados primeiro e em mais níveis.</w:t>
      </w:r>
    </w:p>
    <w:bookmarkStart w:id="40" w:name="ferramentas"/>
    <w:p>
      <w:pPr>
        <w:pStyle w:val="Heading3"/>
      </w:pPr>
      <w:r>
        <w:t xml:space="preserve">9.1 Ferramentas</w:t>
      </w:r>
    </w:p>
    <w:p>
      <w:pPr>
        <w:pStyle w:val="FirstParagraph"/>
      </w:pPr>
      <w:r>
        <w:t xml:space="preserve">O grupo usa uma única ferramenta de teste, o xUnit, aprovado pelo professor. As outras peças da tabela são bibliotecas que vêm com o .NET ou com o próprio modelo de projeto do xUnit, sem instalação à parte.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900"/>
        <w:gridCol w:w="2300"/>
        <w:gridCol w:w="3871"/>
      </w:tblGrid>
      <w:tr>
        <w:trPr>
          <w:tblHeader w:val="true"/>
        </w:trPr>
        <w:tc>
          <w:tcPr>
            <w:tcW w:type="dxa" w:w="29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Ferramenta</w:t>
            </w:r>
          </w:p>
        </w:tc>
        <w:tc>
          <w:tcPr>
            <w:tcW w:type="dxa" w:w="23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O que é</w:t>
            </w:r>
          </w:p>
        </w:tc>
        <w:tc>
          <w:tcPr>
            <w:tcW w:type="dxa" w:w="38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Uso no projeto</w:t>
            </w:r>
          </w:p>
        </w:tc>
      </w:tr>
      <w:tr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xUnit</w:t>
            </w:r>
          </w:p>
        </w:tc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Ferramenta de teste (aprovada pelo professor)</w:t>
            </w:r>
          </w:p>
        </w:tc>
        <w:tc>
          <w:tcPr>
            <w:tcW w:type="dxa" w:w="38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Executa todos os testes automatizados: unidade, integração e sistema pela API</w:t>
            </w:r>
          </w:p>
        </w:tc>
      </w:tr>
      <w:tr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Microsoft.AspNetCore.Mvc.Testing</w:t>
            </w:r>
          </w:p>
        </w:tc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Biblioteca do ASP.NET Core</w:t>
            </w:r>
          </w:p>
        </w:tc>
        <w:tc>
          <w:tcPr>
            <w:tcW w:type="dxa" w:w="38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Sobe a API em memória para os testes de integração, sem servidor nem rede</w:t>
            </w:r>
          </w:p>
        </w:tc>
      </w:tr>
      <w:tr>
        <w:tc>
          <w:tcPr>
            <w:tcW w:type="dxa" w:w="2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coverlet</w:t>
            </w:r>
          </w:p>
        </w:tc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Pacote que já vem no projeto xUnit</w:t>
            </w:r>
          </w:p>
        </w:tc>
        <w:tc>
          <w:tcPr>
            <w:tcW w:type="dxa" w:w="38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Mede a cobertura de testes (RNF11)</w:t>
            </w:r>
          </w:p>
        </w:tc>
      </w:tr>
    </w:tbl>
    <w:p>
      <w:pPr>
        <w:pStyle w:val="BodyText"/>
      </w:pPr>
      <w:r>
        <w:t xml:space="preserve">Os requisitos que dependem da tela da maquete (RNF08, RNF09, RNF10 e a parte de navegadores do RNF13) são verificados por roteiro de teste manual, sem ferramenta adicional. Todos os demais são testados de forma automatizada no xUnit.</w:t>
      </w:r>
    </w:p>
    <w:bookmarkEnd w:id="40"/>
    <w:bookmarkStart w:id="41" w:name="níveis-de-teste"/>
    <w:p>
      <w:pPr>
        <w:pStyle w:val="Heading3"/>
      </w:pPr>
      <w:r>
        <w:t xml:space="preserve">9.2 Níveis de teste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0"/>
        <w:gridCol w:w="1900"/>
        <w:gridCol w:w="3971"/>
        <w:gridCol w:w="2000"/>
      </w:tblGrid>
      <w:tr>
        <w:trPr>
          <w:tblHeader w:val="true"/>
        </w:trPr>
        <w:tc>
          <w:tcPr>
            <w:tcW w:type="dxa" w:w="12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Nível</w:t>
            </w:r>
          </w:p>
        </w:tc>
        <w:tc>
          <w:tcPr>
            <w:tcW w:type="dxa" w:w="19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Foco</w:t>
            </w:r>
          </w:p>
        </w:tc>
        <w:tc>
          <w:tcPr>
            <w:tcW w:type="dxa" w:w="39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Exemplos</w:t>
            </w:r>
          </w:p>
        </w:tc>
        <w:tc>
          <w:tcPr>
            <w:tcW w:type="dxa" w:w="20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Ferramenta</w:t>
            </w:r>
          </w:p>
        </w:tc>
      </w:tr>
      <w:tr>
        <w:tc>
          <w:tcPr>
            <w:tcW w:type="dxa" w:w="12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Unidade</w:t>
            </w:r>
          </w:p>
        </w:tc>
        <w:tc>
          <w:tcPr>
            <w:tcW w:type="dxa" w:w="1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Regras de negócio isoladas</w:t>
            </w:r>
          </w:p>
        </w:tc>
        <w:tc>
          <w:tcPr>
            <w:tcW w:type="dxa" w:w="39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Ciclo do semáforo (RN02, RN03), menor caminho (RN05), prioridade no conflito (RN12), prazos com relógio simulado (RN09)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xUnit</w:t>
            </w:r>
          </w:p>
        </w:tc>
      </w:tr>
      <w:tr>
        <w:tc>
          <w:tcPr>
            <w:tcW w:type="dxa" w:w="12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Integração</w:t>
            </w:r>
          </w:p>
        </w:tc>
        <w:tc>
          <w:tcPr>
            <w:tcW w:type="dxa" w:w="1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API e regras juntas</w:t>
            </w:r>
          </w:p>
        </w:tc>
        <w:tc>
          <w:tcPr>
            <w:tcW w:type="dxa" w:w="39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Registro de ocorrência válido e inválido, escolha da viatura mais perto, volta da reserva à base, saída e chegada da viatura, falha de semáforo, log somente leitura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xUnit com a API em memória</w:t>
            </w:r>
          </w:p>
        </w:tc>
      </w:tr>
      <w:tr>
        <w:tc>
          <w:tcPr>
            <w:tcW w:type="dxa" w:w="12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Sistema</w:t>
            </w:r>
          </w:p>
        </w:tc>
        <w:tc>
          <w:tcPr>
            <w:tcW w:type="dxa" w:w="1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Cenários completos e RNFs</w:t>
            </w:r>
          </w:p>
        </w:tc>
        <w:tc>
          <w:tcPr>
            <w:tcW w:type="dxa" w:w="39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Ocorrência do registro até o hospital, desvio de rota, duas emergências em conflito, simulação de 1 hora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xUnit; roteiro manual na maquete</w:t>
            </w:r>
          </w:p>
        </w:tc>
      </w:tr>
      <w:tr>
        <w:tc>
          <w:tcPr>
            <w:tcW w:type="dxa" w:w="12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Aceitação</w:t>
            </w:r>
          </w:p>
        </w:tc>
        <w:tc>
          <w:tcPr>
            <w:tcW w:type="dxa" w:w="19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Demonstração ao professor</w:t>
            </w:r>
          </w:p>
        </w:tc>
        <w:tc>
          <w:tcPr>
            <w:tcW w:type="dxa" w:w="39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Dirigir a ambulância, abrir o corredor até o hospital, conflito com os bombeiros, falha durante a rota</w:t>
            </w:r>
          </w:p>
        </w:tc>
        <w:tc>
          <w:tcPr>
            <w:tcW w:type="dxa" w:w="20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Roteiro de demonstração na maquete</w:t>
            </w:r>
          </w:p>
        </w:tc>
      </w:tr>
    </w:tbl>
    <w:bookmarkEnd w:id="41"/>
    <w:bookmarkStart w:id="42" w:name="técnicas-previstas"/>
    <w:p>
      <w:pPr>
        <w:pStyle w:val="Heading3"/>
      </w:pPr>
      <w:r>
        <w:t xml:space="preserve">9.3 Técnicas previstas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Caixa-preta:</w:t>
      </w:r>
      <w:r>
        <w:t xml:space="preserve"> </w:t>
      </w:r>
      <w:r>
        <w:t xml:space="preserve">particionamento de equivalência e valor-limite na criticidade (0, 1, 3 e 4) e nos tempos; tabela de decisão para o conflito entre emergências; transição de estados do semáforo (verde, amarelo, vermelho, piscante) e da viatura (patrulha, emergência, atendimento).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Caixa-branca:</w:t>
      </w:r>
      <w:r>
        <w:t xml:space="preserve"> </w:t>
      </w:r>
      <w:r>
        <w:t xml:space="preserve">cobertura de decisões nas regras de corredor, conflito e desvio.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Regressão:</w:t>
      </w:r>
      <w:r>
        <w:t xml:space="preserve"> </w:t>
      </w:r>
      <w:r>
        <w:t xml:space="preserve">os testes do xUnit rodam a cada alteração enviada ao GitHub, pelo GitHub Actions, em Windows e Linux.</w:t>
      </w:r>
    </w:p>
    <w:bookmarkEnd w:id="42"/>
    <w:bookmarkEnd w:id="43"/>
    <w:bookmarkStart w:id="44" w:name="Xb7f0525d4e9e7a9f2274b454a128ed75dbff98b"/>
    <w:p>
      <w:pPr>
        <w:pStyle w:val="Heading2"/>
      </w:pPr>
      <w:r>
        <w:t xml:space="preserve">10. Considerações éticas e responsabilidade profissional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Equidade:</w:t>
      </w:r>
      <w:r>
        <w:t xml:space="preserve"> </w:t>
      </w:r>
      <w:r>
        <w:t xml:space="preserve">o corredor verde segura o tráfego comum só nos cruzamentos do trecho e só até a viatura passar (RN08), para não prejudicar as outras vias mais que o necessário.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Controle humano:</w:t>
      </w:r>
      <w:r>
        <w:t xml:space="preserve"> </w:t>
      </w:r>
      <w:r>
        <w:t xml:space="preserve">o usuário pode assumir a direção da AMB-01 a qualquer momento, e toda decisão automática importante fica registrada no log (RN14).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Privacidade:</w:t>
      </w:r>
      <w:r>
        <w:t xml:space="preserve"> </w:t>
      </w:r>
      <w:r>
        <w:t xml:space="preserve">a maquete não coleta dados pessoais; o log guarda só eventos da simulação.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Transparência sobre limites:</w:t>
      </w:r>
      <w:r>
        <w:t xml:space="preserve"> </w:t>
      </w:r>
      <w:r>
        <w:t xml:space="preserve">a cidade é simulada em software, e os resultados de teste não valem como certificação para uso em vias reais.</w:t>
      </w:r>
    </w:p>
    <w:bookmarkEnd w:id="44"/>
    <w:bookmarkStart w:id="45" w:name="glossário"/>
    <w:p>
      <w:pPr>
        <w:pStyle w:val="Heading2"/>
      </w:pPr>
      <w:r>
        <w:t xml:space="preserve">11. Glossário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00"/>
        <w:gridCol w:w="6771"/>
      </w:tblGrid>
      <w:tr>
        <w:trPr>
          <w:tblHeader w:val="true"/>
        </w:trPr>
        <w:tc>
          <w:tcPr>
            <w:tcW w:type="dxa" w:w="2300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Termo</w:t>
            </w:r>
          </w:p>
        </w:tc>
        <w:tc>
          <w:tcPr>
            <w:tcW w:type="dxa" w:w="6771"/>
            <w:shd w:val="clear" w:color="auto" w:fill="D9D9D9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color w:val="000000"/>
                <w:sz w:val="19"/>
              </w:rPr>
              <w:t xml:space="preserve">Significado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Maquete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Representação digital da cidade, feita em React, onde o usuário dirige a ambulância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Malha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Conjunto de ruas e cruzamentos da maquete (C1 a C20)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Direção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Norte-Sul ou Leste-Oeste; cada cruzamento dá verde a uma direção por vez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Ciclo normal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Alternância automática entre as duas direções, com os tempos da RN03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Corredor verde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Sequência de cruzamentos que ficam verdes na direção de uma viatura em emergência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Reserva de cruzamento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Marca que um corredor deixa em cada cruzamento do trecho até a viatura passar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Viatura de reserva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Viatura que fica estacionada na base até ser a livre mais perto de uma emergência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Trecho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Parte da rota: trecho 1 até o local da ocorrência, trecho 2 até o hospital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Criticidade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Nível de urgência da ocorrência, de 1 (risco de vida) a 3 (padrão)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Falha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Estado de um semáforo com defeito simulado: amarelo piscante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Patrulha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Viatura sem ocorrência circulando pela cidade, sozinha ou dirigida pelo usuário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Atendimento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Tempo que a viatura fica parada no local da ocorrência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Eu dirijo a AMB-01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Opção da maquete em que o usuário assume a direção da AMB-01; desmarcada, ela anda sozinha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Regra de negócio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RNF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Requisito não funcional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UC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Caso de uso</w:t>
            </w:r>
          </w:p>
        </w:tc>
      </w:tr>
      <w:tr>
        <w:tc>
          <w:tcPr>
            <w:tcW w:type="dxa" w:w="2300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CA</w:t>
            </w:r>
          </w:p>
        </w:tc>
        <w:tc>
          <w:tcPr>
            <w:tcW w:type="dxa" w:w="6771"/>
          </w:tcPr>
          <w:p>
            <w:pPr>
              <w:pStyle w:val="Compact"/>
              <w:spacing w:before="40" w:after="40"/>
              <w:jc w:val="left"/>
            </w:pPr>
            <w:r>
              <w:rPr>
                <w:color w:val="000000"/>
                <w:sz w:val="19"/>
              </w:rPr>
              <w:t xml:space="preserve">Critério de aceitação</w:t>
            </w:r>
          </w:p>
        </w:tc>
      </w:tr>
    </w:tbl>
    <w:bookmarkEnd w:id="45"/>
    <w:bookmarkStart w:id="46" w:name="pendências-a-validar-com-o-professor"/>
    <w:p>
      <w:pPr>
        <w:pStyle w:val="Heading2"/>
      </w:pPr>
      <w:r>
        <w:t xml:space="preserve">12. Pendências a validar com o professor</w:t>
      </w:r>
    </w:p>
    <w:p>
      <w:pPr>
        <w:numPr>
          <w:ilvl w:val="0"/>
          <w:numId w:val="1025"/>
        </w:numPr>
        <w:pStyle w:val="Compact"/>
      </w:pPr>
      <w:r>
        <w:t xml:space="preserve">Aprovação do sistema dentro do eixo Trânsito, no formato de maquete digital.</w:t>
      </w:r>
    </w:p>
    <w:p>
      <w:pPr>
        <w:numPr>
          <w:ilvl w:val="0"/>
          <w:numId w:val="1025"/>
        </w:numPr>
        <w:pStyle w:val="Compact"/>
      </w:pPr>
      <w:r>
        <w:t xml:space="preserve">Confirmar se o xUnit pode ser a ferramenta apresentada na 3ª entrega.</w:t>
      </w:r>
    </w:p>
    <w:p>
      <w:pPr>
        <w:numPr>
          <w:ilvl w:val="0"/>
          <w:numId w:val="1025"/>
        </w:numPr>
        <w:pStyle w:val="Compact"/>
      </w:pPr>
      <w:r>
        <w:t xml:space="preserve">Validar os tempos da maquete (8 s de verde, 2 s de amarelo e 4 s de atendimento) e o tamanho da malha.</w:t>
      </w:r>
    </w:p>
    <w:p>
      <w:pPr>
        <w:numPr>
          <w:ilvl w:val="0"/>
          <w:numId w:val="1025"/>
        </w:numPr>
        <w:pStyle w:val="Compact"/>
      </w:pPr>
      <w:r>
        <w:t xml:space="preserve">Adequação deste documento ao template, quando for disponibilizado.</w:t>
      </w:r>
    </w:p>
    <w:p>
      <w:pPr>
        <w:numPr>
          <w:ilvl w:val="0"/>
          <w:numId w:val="1025"/>
        </w:numPr>
        <w:pStyle w:val="Compact"/>
      </w:pPr>
      <w:r>
        <w:t xml:space="preserve">Preencher nome do professor e dos integrantes na seção 1.</w:t>
      </w:r>
    </w:p>
    <w:bookmarkEnd w:id="46"/>
    <w:bookmarkEnd w:id="47"/>
    <w:sectPr>
      <w:pgSz w:h="16838" w:w="11906"/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00000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eastAsia="Arial" w:hAnsi="Arial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000000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000000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cs="Arial" w:eastAsia="Arial" w:hAnsi="Arial"/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cs="Arial" w:eastAsia="Arial" w:hAnsi="Arial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cs="Arial" w:eastAsia="Arial" w:hAnsi="Arial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color w:val="000000"/>
      <w:sz w:val="20"/>
      <w:szCs w:val="20"/>
      <w:rFonts w:ascii="Arial" w:cs="Arial" w:eastAsia="Arial" w:hAnsi="Arial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cs="Arial" w:eastAsia="Arial" w:hAnsi="Arial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val="000000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cs="Arial" w:eastAsia="Arial" w:hAnsi="Arial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cs="Arial" w:eastAsia="Arial" w:hAnsi="Arial"/>
      <w:color w:val="000000"/>
    </w:rPr>
  </w:style>
  <w:style w:default="1" w:styleId="DefaultParagraphFont" w:type="character">
    <w:name w:val="Default Paragraph Font"/>
    <w:semiHidden/>
    <w:unhideWhenUsed/>
    <w:rPr>
      <w:rFonts w:ascii="Arial" w:cs="Arial" w:eastAsia="Arial" w:hAnsi="Arial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cs="Arial" w:eastAsia="Arial" w:hAnsi="Arial"/>
      <w:b/>
      <w:color w:val="000000"/>
    </w:rPr>
  </w:style>
  <w:style w:customStyle="1" w:styleId="Definition" w:type="paragraph">
    <w:name w:val="Definition"/>
    <w:basedOn w:val="Normal"/>
    <w:rPr>
      <w:rFonts w:ascii="Arial" w:cs="Arial" w:eastAsia="Arial" w:hAnsi="Arial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cs="Arial" w:eastAsia="Arial" w:hAnsi="Arial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color w:val="000000"/>
    </w:rPr>
  </w:style>
  <w:style w:customStyle="1" w:styleId="ImageCaption" w:type="paragraph">
    <w:name w:val="Image Caption"/>
    <w:basedOn w:val="Caption"/>
    <w:rPr>
      <w:rFonts w:ascii="Arial" w:cs="Arial" w:eastAsia="Arial" w:hAnsi="Arial"/>
      <w:color w:val="000000"/>
    </w:rPr>
  </w:style>
  <w:style w:customStyle="1" w:styleId="Figure" w:type="paragraph">
    <w:name w:val="Figure"/>
    <w:basedOn w:val="Normal"/>
    <w:rPr>
      <w:rFonts w:ascii="Arial" w:cs="Arial" w:eastAsia="Arial" w:hAnsi="Arial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Arial" w:cs="Arial" w:eastAsia="Arial" w:hAnsi="Arial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Arial" w:cs="Arial" w:eastAsia="Arial" w:hAnsi="Arial"/>
      <w:color w:val="000000"/>
    </w:rPr>
  </w:style>
  <w:style w:customStyle="1" w:styleId="VerbatimChar" w:type="character">
    <w:name w:val="Verbatim Char"/>
    <w:basedOn w:val="BodyTextChar"/>
    <w:rPr>
      <w:rFonts w:ascii="Arial" w:cs="Arial" w:eastAsia="Arial" w:hAnsi="Arial"/>
      <w:color w:val="000000"/>
      <w:sz w:val="22"/>
    </w:rPr>
  </w:style>
  <w:style w:customStyle="1" w:styleId="SectionNumber" w:type="character">
    <w:name w:val="Section Number"/>
    <w:basedOn w:val="BodyTextChar"/>
    <w:rPr>
      <w:rFonts w:ascii="Arial" w:cs="Arial" w:eastAsia="Arial" w:hAnsi="Arial"/>
      <w:color w:val="000000"/>
    </w:rPr>
  </w:style>
  <w:style w:styleId="FootnoteReference" w:type="character">
    <w:name w:val="Footnote Reference"/>
    <w:basedOn w:val="BodyTextChar"/>
    <w:rPr>
      <w:rFonts w:ascii="Arial" w:cs="Arial" w:eastAsia="Arial" w:hAnsi="Arial"/>
      <w:color w:val="000000"/>
      <w:vertAlign w:val="superscript"/>
    </w:rPr>
  </w:style>
  <w:style w:styleId="Hyperlink" w:type="character">
    <w:name w:val="Hyperlink"/>
    <w:basedOn w:val="BodyTextChar"/>
    <w:rPr>
      <w:rFonts w:ascii="Arial" w:cs="Arial" w:eastAsia="Arial" w:hAnsi="Arial"/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val="000000"/>
    </w:rPr>
  </w:style>
  <w:style w:customStyle="1" w:styleId="SourceCode" w:type="paragraph">
    <w:name w:val="Source Code"/>
    <w:basedOn w:val="Normal"/>
    <w:link w:val="VerbatimChar"/>
    <w:pPr>
      <w:wordWrap w:val="off"/>
    </w:pPr>
    <w:rPr>
      <w:rFonts w:ascii="Arial" w:cs="Arial" w:eastAsia="Arial" w:hAnsi="Arial"/>
      <w:color w:val="000000"/>
    </w:rPr>
  </w:style>
  <w:style w:customStyle="1" w:styleId="KeywordTok" w:type="character">
    <w:name w:val="KeywordTok"/>
    <w:basedOn w:val="VerbatimChar"/>
    <w:rPr>
      <w:rFonts w:ascii="Arial" w:cs="Arial" w:eastAsia="Arial" w:hAnsi="Arial"/>
      <w:b/>
      <w:color w:val="000000"/>
    </w:rPr>
  </w:style>
  <w:style w:customStyle="1" w:styleId="DataTypeTok" w:type="character">
    <w:name w:val="DataTypeTok"/>
    <w:basedOn w:val="VerbatimChar"/>
    <w:rPr>
      <w:rFonts w:ascii="Arial" w:cs="Arial" w:eastAsia="Arial" w:hAnsi="Arial"/>
      <w:color w:val="000000"/>
    </w:rPr>
  </w:style>
  <w:style w:customStyle="1" w:styleId="DecValTok" w:type="character">
    <w:name w:val="DecValTok"/>
    <w:basedOn w:val="VerbatimChar"/>
    <w:rPr>
      <w:rFonts w:ascii="Arial" w:cs="Arial" w:eastAsia="Arial" w:hAnsi="Arial"/>
      <w:color w:val="000000"/>
    </w:rPr>
  </w:style>
  <w:style w:customStyle="1" w:styleId="BaseNTok" w:type="character">
    <w:name w:val="BaseNTok"/>
    <w:basedOn w:val="VerbatimChar"/>
    <w:rPr>
      <w:rFonts w:ascii="Arial" w:cs="Arial" w:eastAsia="Arial" w:hAnsi="Arial"/>
      <w:color w:val="000000"/>
    </w:rPr>
  </w:style>
  <w:style w:customStyle="1" w:styleId="FloatTok" w:type="character">
    <w:name w:val="FloatTok"/>
    <w:basedOn w:val="VerbatimChar"/>
    <w:rPr>
      <w:rFonts w:ascii="Arial" w:cs="Arial" w:eastAsia="Arial" w:hAnsi="Arial"/>
      <w:color w:val="000000"/>
    </w:rPr>
  </w:style>
  <w:style w:customStyle="1" w:styleId="ConstantTok" w:type="character">
    <w:name w:val="ConstantTok"/>
    <w:basedOn w:val="VerbatimChar"/>
    <w:rPr>
      <w:rFonts w:ascii="Arial" w:cs="Arial" w:eastAsia="Arial" w:hAnsi="Arial"/>
      <w:color w:val="000000"/>
    </w:rPr>
  </w:style>
  <w:style w:customStyle="1" w:styleId="CharTok" w:type="character">
    <w:name w:val="CharTok"/>
    <w:basedOn w:val="VerbatimChar"/>
    <w:rPr>
      <w:rFonts w:ascii="Arial" w:cs="Arial" w:eastAsia="Arial" w:hAnsi="Arial"/>
      <w:color w:val="000000"/>
    </w:rPr>
  </w:style>
  <w:style w:customStyle="1" w:styleId="SpecialCharTok" w:type="character">
    <w:name w:val="SpecialCharTok"/>
    <w:basedOn w:val="VerbatimChar"/>
    <w:rPr>
      <w:rFonts w:ascii="Arial" w:cs="Arial" w:eastAsia="Arial" w:hAnsi="Arial"/>
      <w:color w:val="000000"/>
    </w:rPr>
  </w:style>
  <w:style w:customStyle="1" w:styleId="StringTok" w:type="character">
    <w:name w:val="StringTok"/>
    <w:basedOn w:val="VerbatimChar"/>
    <w:rPr>
      <w:rFonts w:ascii="Arial" w:cs="Arial" w:eastAsia="Arial" w:hAnsi="Arial"/>
      <w:color w:val="000000"/>
    </w:rPr>
  </w:style>
  <w:style w:customStyle="1" w:styleId="VerbatimStringTok" w:type="character">
    <w:name w:val="VerbatimStringTok"/>
    <w:basedOn w:val="VerbatimChar"/>
    <w:rPr>
      <w:rFonts w:ascii="Arial" w:cs="Arial" w:eastAsia="Arial" w:hAnsi="Arial"/>
      <w:color w:val="000000"/>
    </w:rPr>
  </w:style>
  <w:style w:customStyle="1" w:styleId="SpecialStringTok" w:type="character">
    <w:name w:val="SpecialStringTok"/>
    <w:basedOn w:val="VerbatimChar"/>
    <w:rPr>
      <w:rFonts w:ascii="Arial" w:cs="Arial" w:eastAsia="Arial" w:hAnsi="Arial"/>
      <w:color w:val="000000"/>
    </w:rPr>
  </w:style>
  <w:style w:customStyle="1" w:styleId="ImportTok" w:type="character">
    <w:name w:val="ImportTok"/>
    <w:basedOn w:val="VerbatimChar"/>
    <w:rPr>
      <w:rFonts w:ascii="Arial" w:cs="Arial" w:eastAsia="Arial" w:hAnsi="Arial"/>
      <w:b/>
      <w:color w:val="000000"/>
    </w:rPr>
  </w:style>
  <w:style w:customStyle="1" w:styleId="CommentTok" w:type="character">
    <w:name w:val="CommentTok"/>
    <w:basedOn w:val="VerbatimChar"/>
    <w:rPr>
      <w:rFonts w:ascii="Arial" w:cs="Arial" w:eastAsia="Arial" w:hAnsi="Arial"/>
      <w:i/>
      <w:color w:val="000000"/>
    </w:rPr>
  </w:style>
  <w:style w:customStyle="1" w:styleId="DocumentationTok" w:type="character">
    <w:name w:val="DocumentationTok"/>
    <w:basedOn w:val="VerbatimChar"/>
    <w:rPr>
      <w:rFonts w:ascii="Arial" w:cs="Arial" w:eastAsia="Arial" w:hAnsi="Arial"/>
      <w:i/>
      <w:color w:val="000000"/>
    </w:rPr>
  </w:style>
  <w:style w:customStyle="1" w:styleId="AnnotationTok" w:type="character">
    <w:name w:val="AnnotationTok"/>
    <w:basedOn w:val="VerbatimChar"/>
    <w:rPr>
      <w:rFonts w:ascii="Arial" w:cs="Arial" w:eastAsia="Arial" w:hAnsi="Arial"/>
      <w:b/>
      <w:i/>
      <w:color w:val="000000"/>
    </w:rPr>
  </w:style>
  <w:style w:customStyle="1" w:styleId="CommentVarTok" w:type="character">
    <w:name w:val="CommentVarTok"/>
    <w:basedOn w:val="VerbatimChar"/>
    <w:rPr>
      <w:rFonts w:ascii="Arial" w:cs="Arial" w:eastAsia="Arial" w:hAnsi="Arial"/>
      <w:b/>
      <w:i/>
      <w:color w:val="000000"/>
    </w:rPr>
  </w:style>
  <w:style w:customStyle="1" w:styleId="OtherTok" w:type="character">
    <w:name w:val="OtherTok"/>
    <w:basedOn w:val="VerbatimChar"/>
    <w:rPr>
      <w:rFonts w:ascii="Arial" w:cs="Arial" w:eastAsia="Arial" w:hAnsi="Arial"/>
      <w:color w:val="000000"/>
    </w:rPr>
  </w:style>
  <w:style w:customStyle="1" w:styleId="FunctionTok" w:type="character">
    <w:name w:val="FunctionTok"/>
    <w:basedOn w:val="VerbatimChar"/>
    <w:rPr>
      <w:rFonts w:ascii="Arial" w:cs="Arial" w:eastAsia="Arial" w:hAnsi="Arial"/>
      <w:color w:val="000000"/>
    </w:rPr>
  </w:style>
  <w:style w:customStyle="1" w:styleId="VariableTok" w:type="character">
    <w:name w:val="VariableTok"/>
    <w:basedOn w:val="VerbatimChar"/>
    <w:rPr>
      <w:rFonts w:ascii="Arial" w:cs="Arial" w:eastAsia="Arial" w:hAnsi="Arial"/>
      <w:color w:val="000000"/>
    </w:rPr>
  </w:style>
  <w:style w:customStyle="1" w:styleId="ControlFlowTok" w:type="character">
    <w:name w:val="ControlFlowTok"/>
    <w:basedOn w:val="VerbatimChar"/>
    <w:rPr>
      <w:rFonts w:ascii="Arial" w:cs="Arial" w:eastAsia="Arial" w:hAnsi="Arial"/>
      <w:b/>
      <w:color w:val="000000"/>
    </w:rPr>
  </w:style>
  <w:style w:customStyle="1" w:styleId="OperatorTok" w:type="character">
    <w:name w:val="OperatorTok"/>
    <w:basedOn w:val="VerbatimChar"/>
    <w:rPr>
      <w:rFonts w:ascii="Arial" w:cs="Arial" w:eastAsia="Arial" w:hAnsi="Arial"/>
      <w:color w:val="000000"/>
    </w:rPr>
  </w:style>
  <w:style w:customStyle="1" w:styleId="BuiltInTok" w:type="character">
    <w:name w:val="BuiltInTok"/>
    <w:basedOn w:val="VerbatimChar"/>
    <w:rPr>
      <w:rFonts w:ascii="Arial" w:cs="Arial" w:eastAsia="Arial" w:hAnsi="Arial"/>
      <w:color w:val="000000"/>
    </w:rPr>
  </w:style>
  <w:style w:customStyle="1" w:styleId="ExtensionTok" w:type="character">
    <w:name w:val="ExtensionTok"/>
    <w:basedOn w:val="VerbatimChar"/>
    <w:rPr>
      <w:rFonts w:ascii="Arial" w:cs="Arial" w:eastAsia="Arial" w:hAnsi="Arial"/>
      <w:color w:val="000000"/>
    </w:rPr>
  </w:style>
  <w:style w:customStyle="1" w:styleId="PreprocessorTok" w:type="character">
    <w:name w:val="PreprocessorTok"/>
    <w:basedOn w:val="VerbatimChar"/>
    <w:rPr>
      <w:rFonts w:ascii="Arial" w:cs="Arial" w:eastAsia="Arial" w:hAnsi="Arial"/>
      <w:color w:val="000000"/>
    </w:rPr>
  </w:style>
  <w:style w:customStyle="1" w:styleId="AttributeTok" w:type="character">
    <w:name w:val="AttributeTok"/>
    <w:basedOn w:val="VerbatimChar"/>
    <w:rPr>
      <w:rFonts w:ascii="Arial" w:cs="Arial" w:eastAsia="Arial" w:hAnsi="Arial"/>
      <w:color w:val="000000"/>
    </w:rPr>
  </w:style>
  <w:style w:customStyle="1" w:styleId="RegionMarkerTok" w:type="character">
    <w:name w:val="RegionMarkerTok"/>
    <w:basedOn w:val="VerbatimChar"/>
    <w:rPr>
      <w:rFonts w:ascii="Arial" w:cs="Arial" w:eastAsia="Arial" w:hAnsi="Arial"/>
      <w:color w:val="000000"/>
    </w:rPr>
  </w:style>
  <w:style w:customStyle="1" w:styleId="InformationTok" w:type="character">
    <w:name w:val="InformationTok"/>
    <w:basedOn w:val="VerbatimChar"/>
    <w:rPr>
      <w:rFonts w:ascii="Arial" w:cs="Arial" w:eastAsia="Arial" w:hAnsi="Arial"/>
      <w:b/>
      <w:i/>
      <w:color w:val="000000"/>
    </w:rPr>
  </w:style>
  <w:style w:customStyle="1" w:styleId="WarningTok" w:type="character">
    <w:name w:val="WarningTok"/>
    <w:basedOn w:val="VerbatimChar"/>
    <w:rPr>
      <w:rFonts w:ascii="Arial" w:cs="Arial" w:eastAsia="Arial" w:hAnsi="Arial"/>
      <w:b/>
      <w:i/>
      <w:color w:val="000000"/>
    </w:rPr>
  </w:style>
  <w:style w:customStyle="1" w:styleId="AlertTok" w:type="character">
    <w:name w:val="AlertTok"/>
    <w:basedOn w:val="VerbatimChar"/>
    <w:rPr>
      <w:rFonts w:ascii="Arial" w:cs="Arial" w:eastAsia="Arial" w:hAnsi="Arial"/>
      <w:b/>
      <w:color w:val="000000"/>
    </w:rPr>
  </w:style>
  <w:style w:customStyle="1" w:styleId="ErrorTok" w:type="character">
    <w:name w:val="ErrorTok"/>
    <w:basedOn w:val="VerbatimChar"/>
    <w:rPr>
      <w:rFonts w:ascii="Arial" w:cs="Arial" w:eastAsia="Arial" w:hAnsi="Arial"/>
      <w:b/>
      <w:color w:val="000000"/>
    </w:rPr>
  </w:style>
  <w:style w:customStyle="1" w:styleId="NormalTok" w:type="character">
    <w:name w:val="NormalTok"/>
    <w:basedOn w:val="VerbatimChar"/>
    <w:rPr>
      <w:rFonts w:ascii="Arial" w:cs="Arial" w:eastAsia="Arial" w:hAnsi="Arial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2026-10-13T12:07:36Z</dcterms:created>
  <dcterms:modified xsi:type="dcterms:W3CDTF">2026-10-13T12:07:36Z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