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k9yyt28ce8z5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PLAN DE INSTALACIÓN - SISTEMA MASTER BARBER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k9yyt28ce8z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INSTALACIÓN - SISTEMA MASTER BARBER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40tl891ysm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87zm2ai9r2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COMPONENTES Y DEPENDENCIAS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9a8l5k4l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Base de Datos – AWS RDS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wzh1ink0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API Backend – Node.js + Express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8e56hd1n6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Frontend Web – ReactJS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ljtz0ajlg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Aplicación Móvil – React Native (Expo)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vgjj7gfob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PASOS DE INSTALACIÓN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imb8iycjpe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Preparación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3njjimvm63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Instalación de Base de Datos en AWS RDS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df4w6zhi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Despliegue del Backend en Render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ln5limj0nx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Despliegue del Frontend Web en AWS Amplify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qt0qz4op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Instalación y Pruebas de la Aplicación Móvil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7fqeyxnk6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VALIDACIONES FINALES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nikh2zpl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SEGURIDAD Y MANTENIMIENTO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cyme53k95t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r40tl891ysmx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 DESCRIPCIÓN GENERAL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Master Barber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es una solución digital integral. El sistema permite la gestión de: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Inventario de productos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Reservas de turnos para clientes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Cuentas, Roles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Acceso desde plataforma web y app móvil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sistema se compone de cuatro partes principales: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de datos (MySQL en AWS RDS)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API Backend (Node.js + Express, desplegado en Render)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 Web (ReactJS, desplegado en AWS Amplify)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Aplicación Móvil (React Native con Expo)</w:t>
        <w:br w:type="textWrapping"/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w87zm2ai9r28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 COMPONENTES Y DEPENDENCIAS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399a8l5k4la6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2.1. Base de Datos – AWS RDS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Motor: MySQL 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Hosting: Amazon RDS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Acceso restringido desde direcciones IP autorizadas y desde la API en Render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Backups automáticos habilitados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https://is.gd/jkuCQI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yuwzh1ink0nx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2.2. API Backend – Node.js + Express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Repositorio:</w:t>
      </w:r>
      <w:hyperlink r:id="rId8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Despliegue: Plataforma Render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Variables de entorno necesarias: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DB_HOST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DB_USER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DB_PASSWORD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DB_NAME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PORT, FRONTEND_URL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Opcionales: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JWT_SECRET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CORS_ORIGINS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Funcionalidades: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Gestión de reservas y turnos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Control de inventario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Administración de usuarios/barberos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f8e56hd1n6uh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2.3. Frontend Web – ReactJS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Repositorio:</w:t>
      </w:r>
      <w:hyperlink r:id="rId10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 barber web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Despliegue: AWS Amplify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Variables de entorno: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API_URL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Funcionalidades: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Vista de PRODUCTOS, BARBEROS Y CALIFICACIONES 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oljtz0ajlgiq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2.4. Aplicación Móvil – React Native (Expo)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Repositorio:</w:t>
      </w:r>
      <w:hyperlink r:id="rId12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master_barber_movil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Ejecutable con Expo CLI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Permite el acceso del Administrador al igual que a barberos y clientes para que interactúen con el sistema desde dispositivos móviles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nvgjj7gfobzn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3. PASOS DE INSTALACIÓN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3imb8iycjped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 Preparación Inicial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Verificar cuentas de AWS, Render y GitHub operativas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Confirmar el diseño lógico de la base de datos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Definir direcciones IP de desarrollo permitidas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Registrar dominios si se utilizarán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a3njjimvm63i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Instalación de Base de Datos en AWS RDS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una instancia de RDS con MySQL 8.0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Configurar la red (VPC, subredes privadas y públicas)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Definir un grupo de seguridad que permita acceso desde Render y desde IPs confiables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la base de datos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master_barber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Importar el esquema y datos iniciales desde el repositorio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https://is.gd/jkuCQI</w:t>
        </w:r>
      </w:hyperlink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9pdf4w6zhi81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3.3. Despliegue del Backend en Render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nuevo servicio en Render conectado al repositorio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master_barber_api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Configurar variables de entorno necesarias para la conexión con la base de datos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Establecer el comando de inicio: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npm install &amp;&amp; npm 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Desplegar y verificar que la API responde correctamente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Probar endpoints con Postman o Thunder Client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wln5limj0nxg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3.4. Despliegue del Frontend Web en AWS Amplify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Conectar Amplify al repositorio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master_barber_web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Configurar archivo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amplify.yml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para compilación: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version: 1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frontend: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phases: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preBuild: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    commands: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        - 'npm ci --cache .npm --prefer-offline'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build: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    commands: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        - 'npm run build'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artifacts: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baseDirectory: dist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files: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    - '**/*'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cache: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3c78d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paths: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c78d8"/>
          <w:sz w:val="28"/>
          <w:szCs w:val="28"/>
          <w:rtl w:val="0"/>
        </w:rPr>
        <w:t xml:space="preserve">            - '.npm/**/*'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Establecer variables de entorno como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API_URL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Ejecutar despliegue desde Amplify Console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Validar acceso web y funcionamiento de todas las vistas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highlight w:val="red"/>
          <w:rtl w:val="0"/>
        </w:rPr>
        <w:t xml:space="preserve">IMPORTANTE: npm i (para las dependencias de web y api)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p0qt0qz4opl6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3.5. Instalación y Pruebas de la Aplicación Móvil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4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Clonar el repositorio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master_barber_movil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Ejecutar instalación de dependencias:</w:t>
        <w:br w:type="textWrapping"/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Configurar la API en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 en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config.js</w:t>
        </w:r>
      </w:hyperlink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Iniciar el servidor de desarrollo:</w:t>
        <w:br w:type="textWrapping"/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Probar en emulador o dispositivo móvil con EXPO GO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Validar funcionalidades como login, turnos, productos y reservas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t7fqeyxnk6ka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4. VALIDACIONES FINALES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Verificar la conexión entre todos los componentes del sistema Master Barber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Probar funcionalidad completa desde la web y desde la app móvil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Validar tiempos de respuesta y mensajes de error del backend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Asegurar que las políticas de CORS estén correctamente configuradas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Comprobar la integridad de la base de datos y acceso desde API</w:t>
        <w:br w:type="textWrapping"/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ibnikh2zplw8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5. SEGURIDAD Y MANTENIMIENTO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Activar backups automáticos diarios en RDS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Restringir el acceso a la base de datos a solo las IPs necesarias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Usar variables de entorno cifradas en Render y Amplify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Monitorizar errores desde los paneles de Render y Amplify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Revisar los logs y registros de actividad de forma semanal</w:t>
        <w:br w:type="textWrapping"/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xcyme53k95t0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6. ANEXOS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Accesos a plataformas: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AWS (RDS, Amplify)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Render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GitHub (repositorios)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Documentación técnica de cada módulo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Instrucciones para restauración ante fallos</w:t>
        <w:br w:type="textWrapping"/>
      </w:r>
    </w:p>
    <w:sectPr>
      <w:headerReference r:id="rId16" w:type="default"/>
      <w:foot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9283700</wp:posOffset>
              </wp:positionV>
              <wp:extent cx="495300" cy="358140"/>
              <wp:effectExtent b="0" l="0" r="0" t="0"/>
              <wp:wrapSquare wrapText="bothSides" distB="0" distT="0" distL="0" distR="0"/>
              <wp:docPr id="1522426367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9283700</wp:posOffset>
              </wp:positionV>
              <wp:extent cx="495300" cy="358140"/>
              <wp:effectExtent b="0" l="0" r="0" t="0"/>
              <wp:wrapSquare wrapText="bothSides" distB="0" distT="0" distL="0" distR="0"/>
              <wp:docPr id="152242636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358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4975"/>
                          <a:chExt cx="5943600" cy="535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4975"/>
                            <a:ext cx="5943600" cy="5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404975"/>
                            <a:chExt cx="5943600" cy="535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404975"/>
                              <a:ext cx="5943600" cy="53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2374200" y="3405000"/>
                              <a:chExt cx="5943600" cy="53502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405000"/>
                                <a:ext cx="5943600" cy="535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74200" y="3619980"/>
                                <a:ext cx="5943600" cy="320040"/>
                                <a:chOff x="0" y="0"/>
                                <a:chExt cx="5962650" cy="32385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5962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50" y="0"/>
                                  <a:ext cx="5943600" cy="18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66676"/>
                                  <a:ext cx="5943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[Fecha]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1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24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97">
          <w:pPr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98">
          <w:pPr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E7B4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6167E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86167E"/>
    <w:pPr>
      <w:spacing w:after="100"/>
      <w:ind w:left="440"/>
    </w:p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idV4iss/master_barber_web" TargetMode="External"/><Relationship Id="rId10" Type="http://schemas.openxmlformats.org/officeDocument/2006/relationships/hyperlink" Target="https://github.com/DavidV4iss/master_barber_web" TargetMode="External"/><Relationship Id="rId13" Type="http://schemas.openxmlformats.org/officeDocument/2006/relationships/hyperlink" Target="https://github.com/DavidV4iss/master_barber_movil" TargetMode="External"/><Relationship Id="rId12" Type="http://schemas.openxmlformats.org/officeDocument/2006/relationships/hyperlink" Target="https://github.com/DavidV4iss/master_barber_mov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vidV4iss/master_barber_api" TargetMode="External"/><Relationship Id="rId15" Type="http://schemas.openxmlformats.org/officeDocument/2006/relationships/hyperlink" Target="http://config.js" TargetMode="External"/><Relationship Id="rId14" Type="http://schemas.openxmlformats.org/officeDocument/2006/relationships/hyperlink" Target="https://is.gd/jkuCQI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.gd/jkuCQI" TargetMode="External"/><Relationship Id="rId8" Type="http://schemas.openxmlformats.org/officeDocument/2006/relationships/hyperlink" Target="https://github.com/DavidV4iss/master_barber_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2UBFC30mUfM5jPC/3y7Ds+HQlw==">CgMxLjAyDmguazl5eXQyOGNlOHo1Mg5oLnI0MHRsODkxeXNteDIOaC53ODd6bTJhaTlyMjgyDmguMzk5YThsNWs0bGE2Mg5oLnl1d3poMWluazBueDIOaC5mOGU1NmhkMW42dWgyDmgub2xqdHowYWpsZ2lxMg5oLm52Z2pqN2dmb2J6bjIOaC4zaW1iOGl5Y2pwZWQyDmguYTNuamppbXZtNjNpMg5oLjlwZGY0dzZ6aGk4MTIOaC53bG41bGltajBueGcyDmgucDBxdDBxejRvcGw2Mg5oLnQ3ZnFleXhuazZrYTIOaC5pYm5pa2gyenBsdzgyDmgueGN5bWU1M2s5NXQwOAByITFFTGNka3dYcEJoZTc0amJzM20yVmROcFNEOU9aQzZ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