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C3843" w14:textId="6A7ECC87" w:rsidR="00046F06" w:rsidRDefault="00A1223D" w:rsidP="00046F06">
      <w:pPr>
        <w:pStyle w:val="Heading1"/>
      </w:pPr>
      <w:r>
        <w:t>Physical Security Policy</w:t>
      </w:r>
    </w:p>
    <w:p w14:paraId="4B5E75BF" w14:textId="77777777" w:rsidR="00A1223D" w:rsidRPr="00B6382A" w:rsidRDefault="00A1223D" w:rsidP="00A1223D">
      <w:pPr>
        <w:pStyle w:val="Heading20"/>
        <w:tabs>
          <w:tab w:val="left" w:pos="1500"/>
        </w:tabs>
      </w:pPr>
      <w:r w:rsidRPr="00B6382A">
        <w:t>Purpose</w:t>
      </w:r>
    </w:p>
    <w:p w14:paraId="01D7EE2B" w14:textId="0215EDD1" w:rsidR="00A1223D" w:rsidRDefault="00A1223D" w:rsidP="00A1223D">
      <w:pPr>
        <w:pStyle w:val="MainText"/>
      </w:pPr>
      <w:r>
        <w:t>The purpose of the [Company Name] Physical Security Policy is to establish the rules for the granting, control, monitoring, and removal of physical access to Information Resource facilities.</w:t>
      </w:r>
    </w:p>
    <w:p w14:paraId="4C5AD3B7" w14:textId="77777777" w:rsidR="00A1223D" w:rsidRPr="006E1280" w:rsidRDefault="00A1223D" w:rsidP="00A1223D">
      <w:pPr>
        <w:rPr>
          <w:rFonts w:ascii="Trebuchet MS" w:hAnsi="Trebuchet MS"/>
          <w:sz w:val="20"/>
          <w:szCs w:val="20"/>
          <w:highlight w:val="yellow"/>
        </w:rPr>
      </w:pPr>
    </w:p>
    <w:p w14:paraId="5378EAB2" w14:textId="77777777" w:rsidR="00A1223D" w:rsidRDefault="00A1223D" w:rsidP="00A1223D">
      <w:pPr>
        <w:pStyle w:val="Heading20"/>
        <w:tabs>
          <w:tab w:val="left" w:pos="1500"/>
        </w:tabs>
      </w:pPr>
      <w:r>
        <w:t>Policy</w:t>
      </w:r>
    </w:p>
    <w:p w14:paraId="60D098FC" w14:textId="77777777" w:rsidR="00A1223D" w:rsidRPr="006E1280" w:rsidRDefault="00A1223D" w:rsidP="00A1223D">
      <w:pPr>
        <w:pStyle w:val="Heading3"/>
        <w:rPr>
          <w:rFonts w:ascii="Trebuchet MS" w:hAnsi="Trebuchet MS"/>
          <w:sz w:val="22"/>
        </w:rPr>
      </w:pPr>
      <w:bookmarkStart w:id="0" w:name="_Hardware,_Software,_Applications"/>
      <w:bookmarkStart w:id="1" w:name="_General"/>
      <w:bookmarkEnd w:id="0"/>
      <w:bookmarkEnd w:id="1"/>
      <w:r w:rsidRPr="006E1280">
        <w:rPr>
          <w:rFonts w:ascii="Trebuchet MS" w:hAnsi="Trebuchet MS"/>
          <w:sz w:val="22"/>
        </w:rPr>
        <w:t>General</w:t>
      </w:r>
    </w:p>
    <w:p w14:paraId="3D89F215" w14:textId="77777777" w:rsidR="00A1223D" w:rsidRDefault="00A1223D" w:rsidP="00A1223D">
      <w:pPr>
        <w:pStyle w:val="BulletList"/>
        <w:numPr>
          <w:ilvl w:val="0"/>
          <w:numId w:val="18"/>
        </w:numPr>
        <w:spacing w:after="200"/>
      </w:pPr>
      <w:bookmarkStart w:id="2" w:name="_Media_Destruction_&amp;"/>
      <w:bookmarkEnd w:id="2"/>
      <w:r w:rsidRPr="007F42A1">
        <w:t>Physical security systems must comply with all applicable regulations including but not limited to building codes and fire prevention codes.</w:t>
      </w:r>
    </w:p>
    <w:p w14:paraId="7018F71A" w14:textId="6E1E3F3F" w:rsidR="00A1223D" w:rsidRDefault="00A1223D" w:rsidP="00A1223D">
      <w:pPr>
        <w:pStyle w:val="BulletList"/>
        <w:numPr>
          <w:ilvl w:val="0"/>
          <w:numId w:val="18"/>
        </w:numPr>
        <w:spacing w:after="200"/>
      </w:pPr>
      <w:r w:rsidRPr="007F42A1">
        <w:t xml:space="preserve">Physical access to all </w:t>
      </w:r>
      <w:sdt>
        <w:sdtPr>
          <w:alias w:val="Company"/>
          <w:tag w:val=""/>
          <w:id w:val="-538277979"/>
          <w:placeholder>
            <w:docPart w:val="6984279A8E95C549AFE86C3C0A0C3715"/>
          </w:placeholder>
          <w:dataBinding w:prefixMappings="xmlns:ns0='http://schemas.openxmlformats.org/officeDocument/2006/extended-properties' " w:xpath="/ns0:Properties[1]/ns0:Company[1]" w:storeItemID="{6668398D-A668-4E3E-A5EB-62B293D839F1}"/>
          <w:text/>
        </w:sdtPr>
        <w:sdtContent>
          <w:r>
            <w:t>[Company Name]</w:t>
          </w:r>
        </w:sdtContent>
      </w:sdt>
      <w:r w:rsidRPr="007F42A1">
        <w:t xml:space="preserve"> restricted facilities must </w:t>
      </w:r>
      <w:proofErr w:type="gramStart"/>
      <w:r w:rsidRPr="007F42A1">
        <w:t>be documented</w:t>
      </w:r>
      <w:proofErr w:type="gramEnd"/>
      <w:r w:rsidRPr="007F42A1">
        <w:t xml:space="preserve"> and managed.</w:t>
      </w:r>
    </w:p>
    <w:p w14:paraId="08CC9ABB" w14:textId="430271C5" w:rsidR="00A1223D" w:rsidRDefault="00A1223D" w:rsidP="00A1223D">
      <w:pPr>
        <w:pStyle w:val="BulletList"/>
        <w:numPr>
          <w:ilvl w:val="0"/>
          <w:numId w:val="18"/>
        </w:numPr>
        <w:spacing w:after="200"/>
      </w:pPr>
      <w:r w:rsidRPr="007F42A1">
        <w:t xml:space="preserve">All </w:t>
      </w:r>
      <w:r w:rsidRPr="00A276A3">
        <w:rPr>
          <w:b/>
        </w:rPr>
        <w:t>Information Resource</w:t>
      </w:r>
      <w:r w:rsidRPr="007F42A1">
        <w:t xml:space="preserve"> facilities must </w:t>
      </w:r>
      <w:proofErr w:type="gramStart"/>
      <w:r w:rsidRPr="007F42A1">
        <w:t>be physically protected</w:t>
      </w:r>
      <w:proofErr w:type="gramEnd"/>
      <w:r w:rsidRPr="007F42A1">
        <w:t xml:space="preserve"> in proportion to the criticality or importance of their function at </w:t>
      </w:r>
      <w:sdt>
        <w:sdtPr>
          <w:alias w:val="Company"/>
          <w:tag w:val=""/>
          <w:id w:val="-601644528"/>
          <w:placeholder>
            <w:docPart w:val="B9693948A71BFC409381B0EDE5877850"/>
          </w:placeholder>
          <w:dataBinding w:prefixMappings="xmlns:ns0='http://schemas.openxmlformats.org/officeDocument/2006/extended-properties' " w:xpath="/ns0:Properties[1]/ns0:Company[1]" w:storeItemID="{6668398D-A668-4E3E-A5EB-62B293D839F1}"/>
          <w:text/>
        </w:sdtPr>
        <w:sdtContent>
          <w:r>
            <w:t>[Company Name]</w:t>
          </w:r>
        </w:sdtContent>
      </w:sdt>
      <w:r w:rsidRPr="007F42A1">
        <w:t>.</w:t>
      </w:r>
    </w:p>
    <w:p w14:paraId="2C58BC32" w14:textId="55100A0F" w:rsidR="00A1223D" w:rsidRDefault="00A1223D" w:rsidP="00A1223D">
      <w:pPr>
        <w:pStyle w:val="BulletList"/>
        <w:numPr>
          <w:ilvl w:val="0"/>
          <w:numId w:val="18"/>
        </w:numPr>
        <w:spacing w:after="200"/>
      </w:pPr>
      <w:r w:rsidRPr="007F42A1">
        <w:t xml:space="preserve">Access to </w:t>
      </w:r>
      <w:r w:rsidRPr="00A276A3">
        <w:rPr>
          <w:b/>
        </w:rPr>
        <w:t>Information Resources</w:t>
      </w:r>
      <w:r w:rsidRPr="007F42A1">
        <w:t xml:space="preserve"> facilities must </w:t>
      </w:r>
      <w:proofErr w:type="gramStart"/>
      <w:r w:rsidRPr="007F42A1">
        <w:t>be granted</w:t>
      </w:r>
      <w:proofErr w:type="gramEnd"/>
      <w:r w:rsidRPr="007F42A1">
        <w:t xml:space="preserve"> only to </w:t>
      </w:r>
      <w:sdt>
        <w:sdtPr>
          <w:alias w:val="Company"/>
          <w:tag w:val=""/>
          <w:id w:val="76419233"/>
          <w:placeholder>
            <w:docPart w:val="0B5CE20C1D9B4F4AB3359FD21FFFC358"/>
          </w:placeholder>
          <w:dataBinding w:prefixMappings="xmlns:ns0='http://schemas.openxmlformats.org/officeDocument/2006/extended-properties' " w:xpath="/ns0:Properties[1]/ns0:Company[1]" w:storeItemID="{6668398D-A668-4E3E-A5EB-62B293D839F1}"/>
          <w:text/>
        </w:sdtPr>
        <w:sdtContent>
          <w:r>
            <w:t>[Company Name]</w:t>
          </w:r>
        </w:sdtContent>
      </w:sdt>
      <w:r w:rsidRPr="007F42A1">
        <w:t xml:space="preserve"> support personnel and contractors whose job responsibilities require access to that facility.</w:t>
      </w:r>
    </w:p>
    <w:p w14:paraId="63388FD8" w14:textId="77777777" w:rsidR="00A1223D" w:rsidRDefault="00A1223D" w:rsidP="00A1223D">
      <w:pPr>
        <w:pStyle w:val="BulletList"/>
        <w:numPr>
          <w:ilvl w:val="0"/>
          <w:numId w:val="18"/>
        </w:numPr>
        <w:spacing w:after="200"/>
      </w:pPr>
      <w:r>
        <w:t xml:space="preserve">All facility entrances, </w:t>
      </w:r>
      <w:r w:rsidRPr="00C33FAC">
        <w:t>where unauthorized persons could enter the premises</w:t>
      </w:r>
      <w:r>
        <w:t>, must</w:t>
      </w:r>
      <w:r w:rsidRPr="00C33FAC">
        <w:t xml:space="preserve"> </w:t>
      </w:r>
      <w:proofErr w:type="gramStart"/>
      <w:r w:rsidRPr="00C33FAC">
        <w:t>be controlled</w:t>
      </w:r>
      <w:proofErr w:type="gramEnd"/>
      <w:r>
        <w:t xml:space="preserve">. </w:t>
      </w:r>
    </w:p>
    <w:p w14:paraId="0BF34ED4" w14:textId="77777777" w:rsidR="00A1223D" w:rsidRDefault="00A1223D" w:rsidP="00A1223D">
      <w:pPr>
        <w:pStyle w:val="BulletList"/>
        <w:numPr>
          <w:ilvl w:val="0"/>
          <w:numId w:val="18"/>
        </w:numPr>
        <w:spacing w:after="200"/>
      </w:pPr>
      <w:r>
        <w:t xml:space="preserve">Secure areas must </w:t>
      </w:r>
      <w:proofErr w:type="gramStart"/>
      <w:r>
        <w:t>be protected</w:t>
      </w:r>
      <w:proofErr w:type="gramEnd"/>
      <w:r>
        <w:t xml:space="preserve"> to reduce the risks from environmental threats and hazards, and opportunities for unauthorized access. This includes:</w:t>
      </w:r>
    </w:p>
    <w:p w14:paraId="1023CA13" w14:textId="77777777" w:rsidR="00A1223D" w:rsidRDefault="00A1223D" w:rsidP="00A1223D">
      <w:pPr>
        <w:pStyle w:val="BulletList"/>
        <w:numPr>
          <w:ilvl w:val="1"/>
          <w:numId w:val="18"/>
        </w:numPr>
        <w:spacing w:after="200"/>
      </w:pPr>
      <w:r w:rsidRPr="00C33FAC">
        <w:t xml:space="preserve">information processing facilities handling </w:t>
      </w:r>
      <w:r w:rsidRPr="00A276A3">
        <w:rPr>
          <w:b/>
        </w:rPr>
        <w:t>confidential information</w:t>
      </w:r>
      <w:r w:rsidRPr="00C33FAC">
        <w:t xml:space="preserve"> should </w:t>
      </w:r>
      <w:proofErr w:type="gramStart"/>
      <w:r w:rsidRPr="00C33FAC">
        <w:t>be positioned</w:t>
      </w:r>
      <w:proofErr w:type="gramEnd"/>
      <w:r w:rsidRPr="00C33FAC">
        <w:t xml:space="preserve"> carefully to reduce</w:t>
      </w:r>
      <w:r>
        <w:t xml:space="preserve"> </w:t>
      </w:r>
      <w:r w:rsidRPr="00C33FAC">
        <w:t>the risk of information being viewed by unauthorized persons during their use</w:t>
      </w:r>
      <w:r>
        <w:t>;</w:t>
      </w:r>
    </w:p>
    <w:p w14:paraId="480BF113" w14:textId="77777777" w:rsidR="00A1223D" w:rsidRDefault="00A1223D" w:rsidP="00A1223D">
      <w:pPr>
        <w:pStyle w:val="BulletList"/>
        <w:numPr>
          <w:ilvl w:val="1"/>
          <w:numId w:val="18"/>
        </w:numPr>
        <w:spacing w:after="200"/>
      </w:pPr>
      <w:r w:rsidRPr="00C33FAC">
        <w:t xml:space="preserve">controls should </w:t>
      </w:r>
      <w:proofErr w:type="gramStart"/>
      <w:r w:rsidRPr="00C33FAC">
        <w:t>be adopted</w:t>
      </w:r>
      <w:proofErr w:type="gramEnd"/>
      <w:r w:rsidRPr="00C33FAC">
        <w:t xml:space="preserve"> to minimize the risk of potential physical and environmental threats</w:t>
      </w:r>
      <w:r>
        <w:t>;</w:t>
      </w:r>
    </w:p>
    <w:p w14:paraId="0D2C4C42" w14:textId="77777777" w:rsidR="00A1223D" w:rsidRDefault="00A1223D" w:rsidP="00A1223D">
      <w:pPr>
        <w:pStyle w:val="BulletList"/>
        <w:numPr>
          <w:ilvl w:val="1"/>
          <w:numId w:val="18"/>
        </w:numPr>
        <w:spacing w:after="200"/>
      </w:pPr>
      <w:r>
        <w:t xml:space="preserve">environmental conditions, such as temperature and humidity, should </w:t>
      </w:r>
      <w:proofErr w:type="gramStart"/>
      <w:r>
        <w:t>be monitored</w:t>
      </w:r>
      <w:proofErr w:type="gramEnd"/>
      <w:r>
        <w:t xml:space="preserve"> for conditions which could adversely affect the operation of information processing facilities.</w:t>
      </w:r>
    </w:p>
    <w:p w14:paraId="77763818" w14:textId="77777777" w:rsidR="00A1223D" w:rsidRDefault="00A1223D" w:rsidP="00A1223D">
      <w:pPr>
        <w:pStyle w:val="BulletList"/>
        <w:numPr>
          <w:ilvl w:val="0"/>
          <w:numId w:val="18"/>
        </w:numPr>
        <w:spacing w:after="200"/>
      </w:pPr>
      <w:r w:rsidRPr="00334946">
        <w:t>Directories and internal telephone books identifying locations of confidential information processing facilities should not be readily accessible to anyone unauthorized.</w:t>
      </w:r>
    </w:p>
    <w:p w14:paraId="0D52F2CC" w14:textId="77777777" w:rsidR="00A1223D" w:rsidRDefault="00A1223D" w:rsidP="00A1223D">
      <w:pPr>
        <w:pStyle w:val="BulletList"/>
        <w:numPr>
          <w:ilvl w:val="0"/>
          <w:numId w:val="18"/>
        </w:numPr>
        <w:spacing w:after="200"/>
      </w:pPr>
      <w:r w:rsidRPr="00C33FAC">
        <w:t xml:space="preserve">Equipment </w:t>
      </w:r>
      <w:r>
        <w:t>must</w:t>
      </w:r>
      <w:r w:rsidRPr="00C33FAC">
        <w:t xml:space="preserve"> </w:t>
      </w:r>
      <w:proofErr w:type="gramStart"/>
      <w:r w:rsidRPr="00C33FAC">
        <w:t>be protected</w:t>
      </w:r>
      <w:proofErr w:type="gramEnd"/>
      <w:r w:rsidRPr="00C33FAC">
        <w:t xml:space="preserve"> from power failures and other disruptions caused by failures in</w:t>
      </w:r>
      <w:r>
        <w:t xml:space="preserve"> </w:t>
      </w:r>
      <w:r w:rsidRPr="00C33FAC">
        <w:t>utilities.</w:t>
      </w:r>
    </w:p>
    <w:p w14:paraId="42393C2C" w14:textId="77777777" w:rsidR="00A1223D" w:rsidRDefault="00A1223D" w:rsidP="00A1223D">
      <w:pPr>
        <w:pStyle w:val="BulletList"/>
        <w:numPr>
          <w:ilvl w:val="0"/>
          <w:numId w:val="18"/>
        </w:numPr>
        <w:spacing w:after="200"/>
      </w:pPr>
      <w:r w:rsidRPr="00531D86">
        <w:t>Restricted access rooms and locations must have no signage or evidence of the importance of the location.</w:t>
      </w:r>
    </w:p>
    <w:p w14:paraId="28C64970" w14:textId="77777777" w:rsidR="00A1223D" w:rsidRDefault="00A1223D" w:rsidP="00A1223D">
      <w:pPr>
        <w:pStyle w:val="BulletList"/>
        <w:numPr>
          <w:ilvl w:val="0"/>
          <w:numId w:val="18"/>
        </w:numPr>
        <w:spacing w:after="200"/>
      </w:pPr>
      <w:r w:rsidRPr="007F42A1">
        <w:t xml:space="preserve">All </w:t>
      </w:r>
      <w:r w:rsidRPr="00A276A3">
        <w:rPr>
          <w:b/>
        </w:rPr>
        <w:t>Information Resources</w:t>
      </w:r>
      <w:r w:rsidRPr="007F42A1">
        <w:t xml:space="preserve"> facilities that allow access to visitors will track visitor access with a sign in/out log.</w:t>
      </w:r>
    </w:p>
    <w:p w14:paraId="59FC2547" w14:textId="77777777" w:rsidR="00A1223D" w:rsidRDefault="00A1223D" w:rsidP="00A1223D">
      <w:pPr>
        <w:pStyle w:val="BulletList"/>
        <w:numPr>
          <w:ilvl w:val="0"/>
          <w:numId w:val="18"/>
        </w:numPr>
        <w:spacing w:after="200"/>
      </w:pPr>
      <w:r w:rsidRPr="007F42A1">
        <w:t xml:space="preserve">Card access records and visitor logs for </w:t>
      </w:r>
      <w:r w:rsidRPr="00A276A3">
        <w:rPr>
          <w:b/>
        </w:rPr>
        <w:t>Information Resource</w:t>
      </w:r>
      <w:r w:rsidRPr="007F42A1">
        <w:t xml:space="preserve"> facilities must </w:t>
      </w:r>
      <w:proofErr w:type="gramStart"/>
      <w:r w:rsidRPr="007F42A1">
        <w:t>be kept</w:t>
      </w:r>
      <w:proofErr w:type="gramEnd"/>
      <w:r w:rsidRPr="007F42A1">
        <w:t xml:space="preserve"> for routine review based upon the criticality of the Information Resources being protected.</w:t>
      </w:r>
    </w:p>
    <w:p w14:paraId="392EFB98" w14:textId="77777777" w:rsidR="00A1223D" w:rsidRPr="00A276A3" w:rsidRDefault="00A1223D" w:rsidP="00A1223D">
      <w:pPr>
        <w:pStyle w:val="BulletList"/>
        <w:numPr>
          <w:ilvl w:val="0"/>
          <w:numId w:val="18"/>
        </w:numPr>
        <w:spacing w:after="200"/>
      </w:pPr>
      <w:r w:rsidRPr="00A276A3">
        <w:t xml:space="preserve">Visitors in controlled areas of </w:t>
      </w:r>
      <w:r w:rsidRPr="00A276A3">
        <w:rPr>
          <w:b/>
        </w:rPr>
        <w:t>Information Resource</w:t>
      </w:r>
      <w:r w:rsidRPr="00A276A3">
        <w:t xml:space="preserve"> facilities must be </w:t>
      </w:r>
      <w:proofErr w:type="gramStart"/>
      <w:r w:rsidRPr="00A276A3">
        <w:t>accompanied by authorized personnel at all times</w:t>
      </w:r>
      <w:proofErr w:type="gramEnd"/>
      <w:r w:rsidRPr="00A276A3">
        <w:t>.</w:t>
      </w:r>
    </w:p>
    <w:p w14:paraId="5A76D826" w14:textId="77777777" w:rsidR="00A1223D" w:rsidRDefault="00A1223D" w:rsidP="00A1223D">
      <w:pPr>
        <w:pStyle w:val="BulletList"/>
        <w:numPr>
          <w:ilvl w:val="0"/>
          <w:numId w:val="18"/>
        </w:numPr>
        <w:spacing w:after="200"/>
      </w:pPr>
      <w:r>
        <w:t>Personnel</w:t>
      </w:r>
      <w:r w:rsidRPr="007F42A1">
        <w:t xml:space="preserve"> responsible for</w:t>
      </w:r>
      <w:r w:rsidRPr="00A276A3">
        <w:rPr>
          <w:b/>
        </w:rPr>
        <w:t xml:space="preserve"> Information Resource</w:t>
      </w:r>
      <w:r w:rsidRPr="007F42A1">
        <w:t xml:space="preserve"> physical facility management must review access records and visitor logs for the facility on a periodic basis and investigate any unusual access.</w:t>
      </w:r>
    </w:p>
    <w:p w14:paraId="1C4F1328" w14:textId="77777777" w:rsidR="00A1223D" w:rsidRDefault="00A1223D" w:rsidP="00A1223D">
      <w:pPr>
        <w:pStyle w:val="BulletList"/>
        <w:numPr>
          <w:ilvl w:val="0"/>
          <w:numId w:val="0"/>
        </w:numPr>
        <w:spacing w:after="200"/>
        <w:ind w:left="1080" w:hanging="360"/>
      </w:pPr>
    </w:p>
    <w:p w14:paraId="209EA7D8" w14:textId="77777777" w:rsidR="00A1223D" w:rsidRDefault="00A1223D" w:rsidP="00A1223D">
      <w:pPr>
        <w:pStyle w:val="BulletList"/>
        <w:numPr>
          <w:ilvl w:val="0"/>
          <w:numId w:val="0"/>
        </w:numPr>
        <w:spacing w:after="200"/>
        <w:ind w:left="1080" w:hanging="360"/>
      </w:pPr>
    </w:p>
    <w:p w14:paraId="0199D9CC" w14:textId="77777777" w:rsidR="00A1223D" w:rsidRDefault="00A1223D" w:rsidP="00A1223D">
      <w:pPr>
        <w:pStyle w:val="BulletList"/>
        <w:numPr>
          <w:ilvl w:val="0"/>
          <w:numId w:val="0"/>
        </w:numPr>
        <w:spacing w:after="200"/>
        <w:ind w:left="1080" w:hanging="360"/>
      </w:pPr>
    </w:p>
    <w:p w14:paraId="06450FCD" w14:textId="77777777" w:rsidR="00A1223D" w:rsidRDefault="00A1223D" w:rsidP="00A1223D">
      <w:pPr>
        <w:pStyle w:val="BulletList"/>
        <w:numPr>
          <w:ilvl w:val="0"/>
          <w:numId w:val="0"/>
        </w:numPr>
        <w:spacing w:after="200"/>
        <w:ind w:left="1080" w:hanging="360"/>
      </w:pPr>
    </w:p>
    <w:p w14:paraId="227BD0CA" w14:textId="77777777" w:rsidR="00A1223D" w:rsidRDefault="00A1223D" w:rsidP="00A1223D">
      <w:pPr>
        <w:pStyle w:val="BulletList"/>
        <w:numPr>
          <w:ilvl w:val="0"/>
          <w:numId w:val="0"/>
        </w:numPr>
        <w:spacing w:after="200"/>
        <w:ind w:left="1080" w:hanging="360"/>
      </w:pPr>
    </w:p>
    <w:p w14:paraId="0305A5E5" w14:textId="77777777" w:rsidR="00A1223D" w:rsidRDefault="00A1223D" w:rsidP="00A1223D">
      <w:pPr>
        <w:pStyle w:val="BulletList"/>
        <w:numPr>
          <w:ilvl w:val="0"/>
          <w:numId w:val="0"/>
        </w:numPr>
        <w:spacing w:after="200"/>
        <w:ind w:left="1080" w:hanging="360"/>
      </w:pPr>
    </w:p>
    <w:p w14:paraId="0AB9E17A" w14:textId="77777777" w:rsidR="00A1223D" w:rsidRDefault="00A1223D" w:rsidP="00A1223D">
      <w:pPr>
        <w:pStyle w:val="BulletList"/>
        <w:numPr>
          <w:ilvl w:val="0"/>
          <w:numId w:val="0"/>
        </w:numPr>
        <w:spacing w:after="200"/>
        <w:ind w:left="1080" w:hanging="360"/>
      </w:pPr>
    </w:p>
    <w:p w14:paraId="180BC5A7" w14:textId="77777777" w:rsidR="00A1223D" w:rsidRPr="0082154A" w:rsidRDefault="00A1223D" w:rsidP="00A1223D">
      <w:pPr>
        <w:pStyle w:val="Heading3"/>
        <w:rPr>
          <w:lang w:val="en-GB"/>
        </w:rPr>
      </w:pPr>
      <w:bookmarkStart w:id="3" w:name="_Background_Checks"/>
      <w:bookmarkStart w:id="4" w:name="_Access_Cards"/>
      <w:bookmarkEnd w:id="3"/>
      <w:bookmarkEnd w:id="4"/>
      <w:r>
        <w:rPr>
          <w:lang w:val="en-GB"/>
        </w:rPr>
        <w:t>Access Cards</w:t>
      </w:r>
    </w:p>
    <w:p w14:paraId="16AA4C99" w14:textId="77777777" w:rsidR="00A1223D" w:rsidRDefault="00A1223D" w:rsidP="00A1223D">
      <w:pPr>
        <w:pStyle w:val="BulletList"/>
        <w:numPr>
          <w:ilvl w:val="0"/>
          <w:numId w:val="18"/>
        </w:numPr>
        <w:spacing w:after="200"/>
      </w:pPr>
      <w:bookmarkStart w:id="5" w:name="_Information_Retention"/>
      <w:bookmarkStart w:id="6" w:name="_Toc436663217"/>
      <w:bookmarkStart w:id="7" w:name="_Toc436663016"/>
      <w:bookmarkStart w:id="8" w:name="_Toc442107660"/>
      <w:bookmarkEnd w:id="5"/>
      <w:r w:rsidRPr="00531D86">
        <w:t>The process for granting card and/or key access to Information Resource facilities must include the approval of a member of the physical security committee.</w:t>
      </w:r>
    </w:p>
    <w:p w14:paraId="1E494D9F" w14:textId="77777777" w:rsidR="00A1223D" w:rsidRDefault="00A1223D" w:rsidP="00A1223D">
      <w:pPr>
        <w:pStyle w:val="BulletList"/>
        <w:numPr>
          <w:ilvl w:val="0"/>
          <w:numId w:val="18"/>
        </w:numPr>
        <w:spacing w:after="200"/>
      </w:pPr>
      <w:proofErr w:type="gramStart"/>
      <w:r w:rsidRPr="007F42A1">
        <w:t>Each individual</w:t>
      </w:r>
      <w:proofErr w:type="gramEnd"/>
      <w:r w:rsidRPr="007F42A1">
        <w:t xml:space="preserve"> that is granted access rights to an </w:t>
      </w:r>
      <w:r w:rsidRPr="00A276A3">
        <w:rPr>
          <w:b/>
        </w:rPr>
        <w:t>Information Resource</w:t>
      </w:r>
      <w:r w:rsidRPr="007F42A1">
        <w:t xml:space="preserve"> facility must sign the appropriate access and non-disclosure agreements.</w:t>
      </w:r>
    </w:p>
    <w:p w14:paraId="7D337D89" w14:textId="77777777" w:rsidR="00A1223D" w:rsidRPr="00A276A3" w:rsidRDefault="00A1223D" w:rsidP="00A1223D">
      <w:pPr>
        <w:pStyle w:val="BulletList"/>
        <w:numPr>
          <w:ilvl w:val="0"/>
          <w:numId w:val="18"/>
        </w:numPr>
        <w:spacing w:after="200"/>
      </w:pPr>
      <w:r w:rsidRPr="00A276A3">
        <w:t xml:space="preserve">Access cards and/or keys must not </w:t>
      </w:r>
      <w:proofErr w:type="gramStart"/>
      <w:r w:rsidRPr="00A276A3">
        <w:t>be shared</w:t>
      </w:r>
      <w:proofErr w:type="gramEnd"/>
      <w:r w:rsidRPr="00A276A3">
        <w:t xml:space="preserve"> or loaned to others.</w:t>
      </w:r>
    </w:p>
    <w:p w14:paraId="3B63FA7D" w14:textId="77777777" w:rsidR="00A1223D" w:rsidRDefault="00A1223D" w:rsidP="00A1223D">
      <w:pPr>
        <w:pStyle w:val="BulletList"/>
        <w:numPr>
          <w:ilvl w:val="0"/>
          <w:numId w:val="18"/>
        </w:numPr>
        <w:spacing w:after="200"/>
      </w:pPr>
      <w:r w:rsidRPr="007F42A1">
        <w:t xml:space="preserve">Access cards and/or keys that </w:t>
      </w:r>
      <w:proofErr w:type="gramStart"/>
      <w:r w:rsidRPr="007F42A1">
        <w:t>are no longer required</w:t>
      </w:r>
      <w:proofErr w:type="gramEnd"/>
      <w:r w:rsidRPr="007F42A1">
        <w:t xml:space="preserve"> must be returned to </w:t>
      </w:r>
      <w:r>
        <w:t>personnel</w:t>
      </w:r>
      <w:r w:rsidRPr="007F42A1">
        <w:t xml:space="preserve"> responsible for </w:t>
      </w:r>
      <w:r w:rsidRPr="00A276A3">
        <w:rPr>
          <w:b/>
        </w:rPr>
        <w:t>Information Resource</w:t>
      </w:r>
      <w:r w:rsidRPr="007F42A1">
        <w:t xml:space="preserve"> physical facility management. Cards must not be reallocated to another individual, bypassing the return process.</w:t>
      </w:r>
    </w:p>
    <w:p w14:paraId="058D61DC" w14:textId="77777777" w:rsidR="00A1223D" w:rsidRDefault="00A1223D" w:rsidP="00A1223D">
      <w:pPr>
        <w:pStyle w:val="BulletList"/>
        <w:numPr>
          <w:ilvl w:val="0"/>
          <w:numId w:val="18"/>
        </w:numPr>
        <w:spacing w:after="200"/>
      </w:pPr>
      <w:r w:rsidRPr="00531D86">
        <w:t xml:space="preserve">Lost or stolen access cards and/or keys must </w:t>
      </w:r>
      <w:proofErr w:type="gramStart"/>
      <w:r w:rsidRPr="00531D86">
        <w:t>be reported</w:t>
      </w:r>
      <w:proofErr w:type="gramEnd"/>
      <w:r w:rsidRPr="00531D86">
        <w:t xml:space="preserve"> to the person responsible for </w:t>
      </w:r>
      <w:r w:rsidRPr="00531D86">
        <w:rPr>
          <w:b/>
        </w:rPr>
        <w:t>Information Resource</w:t>
      </w:r>
      <w:r w:rsidRPr="00531D86">
        <w:t xml:space="preserve"> physical facility management</w:t>
      </w:r>
      <w:r>
        <w:t xml:space="preserve"> </w:t>
      </w:r>
      <w:r w:rsidRPr="00531D86">
        <w:t>physical security committee as soon as possible.</w:t>
      </w:r>
    </w:p>
    <w:p w14:paraId="1BEFDD3C" w14:textId="78A858EB" w:rsidR="00A1223D" w:rsidRDefault="00A1223D" w:rsidP="00A1223D">
      <w:pPr>
        <w:pStyle w:val="BulletList"/>
        <w:numPr>
          <w:ilvl w:val="0"/>
          <w:numId w:val="18"/>
        </w:numPr>
        <w:spacing w:after="200"/>
      </w:pPr>
      <w:r>
        <w:t>Physical security committee must remove the card and/or key access rights of individuals that change roles within [Company Name] or are separated from their relationship with [Company Name].</w:t>
      </w:r>
    </w:p>
    <w:p w14:paraId="5C0715FF" w14:textId="77777777" w:rsidR="00A1223D" w:rsidRDefault="00A1223D" w:rsidP="00A1223D">
      <w:pPr>
        <w:pStyle w:val="BulletList"/>
        <w:numPr>
          <w:ilvl w:val="0"/>
          <w:numId w:val="18"/>
        </w:numPr>
        <w:spacing w:after="200"/>
      </w:pPr>
      <w:r w:rsidRPr="00531D86">
        <w:t>Physical security committee must review card and/or key access rights for the facility on a periodic basis and remove access for individuals that no longer require access.</w:t>
      </w:r>
    </w:p>
    <w:p w14:paraId="16E3B141" w14:textId="77777777" w:rsidR="00A1223D" w:rsidRDefault="00A1223D" w:rsidP="00A1223D">
      <w:pPr>
        <w:pStyle w:val="Heading20"/>
      </w:pPr>
      <w:r>
        <w:t>Definitions</w:t>
      </w:r>
    </w:p>
    <w:p w14:paraId="3813C762" w14:textId="77777777" w:rsidR="00A1223D" w:rsidRDefault="00A1223D" w:rsidP="00A1223D">
      <w:pPr>
        <w:pStyle w:val="MainText"/>
      </w:pPr>
      <w:r>
        <w:t>See Appendix A: Definitions</w:t>
      </w:r>
    </w:p>
    <w:p w14:paraId="69D4B9FD" w14:textId="77777777" w:rsidR="00A1223D" w:rsidRDefault="00A1223D" w:rsidP="00A1223D">
      <w:pPr>
        <w:pStyle w:val="Heading20"/>
      </w:pPr>
      <w:r>
        <w:t>References</w:t>
      </w:r>
      <w:bookmarkEnd w:id="6"/>
      <w:bookmarkEnd w:id="7"/>
      <w:bookmarkEnd w:id="8"/>
    </w:p>
    <w:p w14:paraId="20F01260" w14:textId="77777777" w:rsidR="00A1223D" w:rsidRPr="00670330" w:rsidRDefault="00A1223D" w:rsidP="00A1223D">
      <w:pPr>
        <w:pStyle w:val="BulletList"/>
        <w:numPr>
          <w:ilvl w:val="0"/>
          <w:numId w:val="5"/>
        </w:numPr>
        <w:tabs>
          <w:tab w:val="left" w:pos="720"/>
        </w:tabs>
        <w:spacing w:after="200"/>
      </w:pPr>
      <w:bookmarkStart w:id="9" w:name="_Toc442107661"/>
      <w:r w:rsidRPr="00670330">
        <w:t>ISO 27002: 7, 9, 11, 13, 16</w:t>
      </w:r>
    </w:p>
    <w:p w14:paraId="34FDC332" w14:textId="77777777" w:rsidR="00A1223D" w:rsidRPr="00670330" w:rsidRDefault="00A1223D" w:rsidP="00A1223D">
      <w:pPr>
        <w:pStyle w:val="BulletList"/>
        <w:numPr>
          <w:ilvl w:val="0"/>
          <w:numId w:val="5"/>
        </w:numPr>
        <w:tabs>
          <w:tab w:val="left" w:pos="720"/>
        </w:tabs>
        <w:spacing w:after="200"/>
      </w:pPr>
      <w:r w:rsidRPr="00670330">
        <w:t xml:space="preserve">NIST CSF: PR.AC, </w:t>
      </w:r>
      <w:proofErr w:type="gramStart"/>
      <w:r w:rsidRPr="00670330">
        <w:t>PR.IP</w:t>
      </w:r>
      <w:proofErr w:type="gramEnd"/>
      <w:r w:rsidRPr="00670330">
        <w:t>, PR.PT, DE.CM</w:t>
      </w:r>
    </w:p>
    <w:p w14:paraId="0636123C" w14:textId="77777777" w:rsidR="00A1223D" w:rsidRPr="00670330" w:rsidRDefault="00A1223D" w:rsidP="00A1223D">
      <w:pPr>
        <w:pStyle w:val="BulletList"/>
        <w:numPr>
          <w:ilvl w:val="0"/>
          <w:numId w:val="5"/>
        </w:numPr>
        <w:tabs>
          <w:tab w:val="left" w:pos="720"/>
        </w:tabs>
        <w:spacing w:after="200"/>
      </w:pPr>
      <w:r w:rsidRPr="00670330">
        <w:t>Disaster Recover Policy</w:t>
      </w:r>
    </w:p>
    <w:p w14:paraId="63663CB2" w14:textId="77777777" w:rsidR="00A1223D" w:rsidRPr="00670330" w:rsidRDefault="00A1223D" w:rsidP="00A1223D">
      <w:pPr>
        <w:pStyle w:val="BulletList"/>
        <w:numPr>
          <w:ilvl w:val="0"/>
          <w:numId w:val="5"/>
        </w:numPr>
        <w:tabs>
          <w:tab w:val="left" w:pos="720"/>
        </w:tabs>
        <w:spacing w:after="200"/>
      </w:pPr>
      <w:r w:rsidRPr="00670330">
        <w:t>Incident Response Policy</w:t>
      </w:r>
    </w:p>
    <w:p w14:paraId="64335BA4" w14:textId="77777777" w:rsidR="00A1223D" w:rsidRPr="00803DC2" w:rsidRDefault="00A1223D" w:rsidP="00A1223D">
      <w:pPr>
        <w:pStyle w:val="Heading20"/>
      </w:pPr>
      <w:r w:rsidRPr="00803DC2">
        <w:t>Waivers</w:t>
      </w:r>
      <w:bookmarkEnd w:id="9"/>
    </w:p>
    <w:p w14:paraId="214FA0C2" w14:textId="2806CF25" w:rsidR="00A1223D" w:rsidRDefault="00A1223D" w:rsidP="00A1223D">
      <w:pPr>
        <w:pStyle w:val="MainText"/>
      </w:pPr>
      <w:bookmarkStart w:id="10" w:name="_Toc366066899"/>
      <w:bookmarkStart w:id="11" w:name="_Toc442107662"/>
      <w:r w:rsidRPr="00D019D9">
        <w:t>Waivers from certain policy provi</w:t>
      </w:r>
      <w:r>
        <w:t xml:space="preserve">sions </w:t>
      </w:r>
      <w:r w:rsidR="00FD5D09">
        <w:t xml:space="preserve">must </w:t>
      </w:r>
      <w:proofErr w:type="gramStart"/>
      <w:r w:rsidR="00FD5D09">
        <w:t>be received</w:t>
      </w:r>
      <w:proofErr w:type="gramEnd"/>
      <w:r w:rsidR="00FD5D09">
        <w:t xml:space="preserve"> in writing from the IT team.</w:t>
      </w:r>
    </w:p>
    <w:p w14:paraId="06D707D3" w14:textId="77777777" w:rsidR="00A1223D" w:rsidRDefault="00A1223D" w:rsidP="00A1223D">
      <w:pPr>
        <w:pStyle w:val="Heading20"/>
      </w:pPr>
      <w:r>
        <w:t>Enforcement</w:t>
      </w:r>
      <w:bookmarkEnd w:id="10"/>
      <w:bookmarkEnd w:id="11"/>
    </w:p>
    <w:p w14:paraId="0253D8DC" w14:textId="77777777" w:rsidR="00A1223D" w:rsidRDefault="00A1223D" w:rsidP="00A1223D">
      <w:pPr>
        <w:pStyle w:val="MainText"/>
      </w:pPr>
      <w:r>
        <w:t>Personnel found to have violated this policy may be subject to disciplinary action, up to and including termination of employment, and related civil or criminal penalties</w:t>
      </w:r>
      <w:proofErr w:type="gramStart"/>
      <w:r>
        <w:t xml:space="preserve">.  </w:t>
      </w:r>
      <w:proofErr w:type="gramEnd"/>
    </w:p>
    <w:p w14:paraId="65B33408" w14:textId="77777777" w:rsidR="00A1223D" w:rsidRDefault="00A1223D" w:rsidP="00A1223D">
      <w:pPr>
        <w:pStyle w:val="MainText"/>
      </w:pPr>
      <w:r>
        <w:t>Any vendor, consultant, or contractor found to have violated this policy may be subject to sanctions up to and including removal of access rights, termination of contract(s), and related civil or criminal penalties.</w:t>
      </w:r>
      <w:bookmarkStart w:id="12" w:name="_Toc318639913"/>
      <w:bookmarkStart w:id="13" w:name="_Toc318642099"/>
      <w:bookmarkStart w:id="14" w:name="_Toc323027749"/>
      <w:bookmarkStart w:id="15" w:name="_Toc323028042"/>
      <w:bookmarkStart w:id="16" w:name="_Toc328073011"/>
    </w:p>
    <w:bookmarkEnd w:id="12"/>
    <w:bookmarkEnd w:id="13"/>
    <w:bookmarkEnd w:id="14"/>
    <w:bookmarkEnd w:id="15"/>
    <w:bookmarkEnd w:id="16"/>
    <w:p w14:paraId="43014AED" w14:textId="77777777" w:rsidR="00046F06" w:rsidRDefault="00046F06" w:rsidP="00046F06">
      <w:pPr>
        <w:pStyle w:val="Heading1"/>
      </w:pPr>
      <w:r>
        <w:lastRenderedPageBreak/>
        <w:t>Version History</w:t>
      </w:r>
    </w:p>
    <w:tbl>
      <w:tblPr>
        <w:tblStyle w:val="TableGrid"/>
        <w:tblW w:w="10255" w:type="dxa"/>
        <w:tblLook w:val="04A0" w:firstRow="1" w:lastRow="0" w:firstColumn="1" w:lastColumn="0" w:noHBand="0" w:noVBand="1"/>
      </w:tblPr>
      <w:tblGrid>
        <w:gridCol w:w="1131"/>
        <w:gridCol w:w="2031"/>
        <w:gridCol w:w="2031"/>
        <w:gridCol w:w="1787"/>
        <w:gridCol w:w="3275"/>
      </w:tblGrid>
      <w:tr w:rsidR="00046F06" w:rsidRPr="002F022E" w14:paraId="7A4E4322" w14:textId="77777777" w:rsidTr="00805046">
        <w:trPr>
          <w:trHeight w:hRule="exact" w:val="432"/>
        </w:trPr>
        <w:tc>
          <w:tcPr>
            <w:tcW w:w="1131" w:type="dxa"/>
            <w:shd w:val="clear" w:color="auto" w:fill="D9D9D9" w:themeFill="background1" w:themeFillShade="D9"/>
            <w:vAlign w:val="center"/>
          </w:tcPr>
          <w:p w14:paraId="23A437EC" w14:textId="77777777" w:rsidR="00046F06" w:rsidRPr="002F022E" w:rsidRDefault="00046F06" w:rsidP="00805046">
            <w:pPr>
              <w:jc w:val="center"/>
              <w:rPr>
                <w:b/>
                <w:bCs/>
              </w:rPr>
            </w:pPr>
            <w:r w:rsidRPr="002F022E">
              <w:rPr>
                <w:b/>
                <w:bCs/>
              </w:rPr>
              <w:t>Version</w:t>
            </w:r>
          </w:p>
        </w:tc>
        <w:tc>
          <w:tcPr>
            <w:tcW w:w="2031" w:type="dxa"/>
            <w:shd w:val="clear" w:color="auto" w:fill="D9D9D9" w:themeFill="background1" w:themeFillShade="D9"/>
            <w:vAlign w:val="center"/>
          </w:tcPr>
          <w:p w14:paraId="6E0219B2" w14:textId="77777777" w:rsidR="00046F06" w:rsidRPr="002F022E" w:rsidRDefault="00046F06" w:rsidP="00805046">
            <w:pPr>
              <w:jc w:val="center"/>
              <w:rPr>
                <w:b/>
                <w:bCs/>
              </w:rPr>
            </w:pPr>
            <w:r w:rsidRPr="002F022E">
              <w:rPr>
                <w:b/>
                <w:bCs/>
              </w:rPr>
              <w:t>Modified Date</w:t>
            </w:r>
          </w:p>
        </w:tc>
        <w:tc>
          <w:tcPr>
            <w:tcW w:w="2031" w:type="dxa"/>
            <w:shd w:val="clear" w:color="auto" w:fill="D9D9D9" w:themeFill="background1" w:themeFillShade="D9"/>
            <w:vAlign w:val="center"/>
          </w:tcPr>
          <w:p w14:paraId="61A0AE02" w14:textId="77777777" w:rsidR="00046F06" w:rsidRPr="002F022E" w:rsidRDefault="00046F06" w:rsidP="00805046">
            <w:pPr>
              <w:jc w:val="center"/>
              <w:rPr>
                <w:b/>
                <w:bCs/>
              </w:rPr>
            </w:pPr>
            <w:r w:rsidRPr="002F022E">
              <w:rPr>
                <w:b/>
                <w:bCs/>
              </w:rPr>
              <w:t>Approved Date</w:t>
            </w:r>
          </w:p>
        </w:tc>
        <w:tc>
          <w:tcPr>
            <w:tcW w:w="1787" w:type="dxa"/>
            <w:shd w:val="clear" w:color="auto" w:fill="D9D9D9" w:themeFill="background1" w:themeFillShade="D9"/>
            <w:vAlign w:val="center"/>
          </w:tcPr>
          <w:p w14:paraId="6C4075BD" w14:textId="77777777" w:rsidR="00046F06" w:rsidRPr="002F022E" w:rsidRDefault="00046F06" w:rsidP="00805046">
            <w:pPr>
              <w:jc w:val="center"/>
              <w:rPr>
                <w:b/>
                <w:bCs/>
              </w:rPr>
            </w:pPr>
            <w:r w:rsidRPr="002F022E">
              <w:rPr>
                <w:b/>
                <w:bCs/>
              </w:rPr>
              <w:t>Approved By</w:t>
            </w:r>
          </w:p>
        </w:tc>
        <w:tc>
          <w:tcPr>
            <w:tcW w:w="3275" w:type="dxa"/>
            <w:shd w:val="clear" w:color="auto" w:fill="D9D9D9" w:themeFill="background1" w:themeFillShade="D9"/>
            <w:vAlign w:val="center"/>
          </w:tcPr>
          <w:p w14:paraId="7FF1CCE4" w14:textId="77777777" w:rsidR="00046F06" w:rsidRPr="002F022E" w:rsidRDefault="00046F06" w:rsidP="00805046">
            <w:pPr>
              <w:jc w:val="center"/>
              <w:rPr>
                <w:b/>
                <w:bCs/>
              </w:rPr>
            </w:pPr>
            <w:r w:rsidRPr="002F022E">
              <w:rPr>
                <w:b/>
                <w:bCs/>
              </w:rPr>
              <w:t>Reason/Comments</w:t>
            </w:r>
          </w:p>
        </w:tc>
      </w:tr>
      <w:tr w:rsidR="00046F06" w14:paraId="4D268A45" w14:textId="77777777" w:rsidTr="00805046">
        <w:tc>
          <w:tcPr>
            <w:tcW w:w="1131" w:type="dxa"/>
          </w:tcPr>
          <w:p w14:paraId="27725661" w14:textId="77777777" w:rsidR="00046F06" w:rsidRDefault="00046F06" w:rsidP="00805046">
            <w:r>
              <w:t>1.0.0</w:t>
            </w:r>
          </w:p>
        </w:tc>
        <w:tc>
          <w:tcPr>
            <w:tcW w:w="2031" w:type="dxa"/>
          </w:tcPr>
          <w:p w14:paraId="686897C9" w14:textId="5E4E7660" w:rsidR="00046F06" w:rsidRDefault="00FD5D09" w:rsidP="00805046">
            <w:proofErr w:type="gramStart"/>
            <w:r>
              <w:t>May  2021</w:t>
            </w:r>
            <w:proofErr w:type="gramEnd"/>
          </w:p>
        </w:tc>
        <w:tc>
          <w:tcPr>
            <w:tcW w:w="2031" w:type="dxa"/>
          </w:tcPr>
          <w:p w14:paraId="0F93DDFA" w14:textId="284583AD" w:rsidR="00046F06" w:rsidRDefault="00046F06" w:rsidP="00805046"/>
        </w:tc>
        <w:tc>
          <w:tcPr>
            <w:tcW w:w="1787" w:type="dxa"/>
          </w:tcPr>
          <w:p w14:paraId="36B77F23" w14:textId="2DBDC66A" w:rsidR="00046F06" w:rsidRDefault="00046F06" w:rsidP="00805046"/>
        </w:tc>
        <w:tc>
          <w:tcPr>
            <w:tcW w:w="3275" w:type="dxa"/>
          </w:tcPr>
          <w:p w14:paraId="389527D9" w14:textId="77777777" w:rsidR="00046F06" w:rsidRDefault="00046F06" w:rsidP="00805046">
            <w:r>
              <w:t>Document Origination</w:t>
            </w:r>
          </w:p>
        </w:tc>
      </w:tr>
      <w:tr w:rsidR="00046F06" w14:paraId="73743B6D" w14:textId="77777777" w:rsidTr="00805046">
        <w:tc>
          <w:tcPr>
            <w:tcW w:w="1131" w:type="dxa"/>
          </w:tcPr>
          <w:p w14:paraId="5A935C1F" w14:textId="77777777" w:rsidR="00046F06" w:rsidRDefault="00046F06" w:rsidP="00805046"/>
        </w:tc>
        <w:tc>
          <w:tcPr>
            <w:tcW w:w="2031" w:type="dxa"/>
          </w:tcPr>
          <w:p w14:paraId="6241F00B" w14:textId="77777777" w:rsidR="00046F06" w:rsidRDefault="00046F06" w:rsidP="00805046"/>
        </w:tc>
        <w:tc>
          <w:tcPr>
            <w:tcW w:w="2031" w:type="dxa"/>
          </w:tcPr>
          <w:p w14:paraId="16A2CD96" w14:textId="77777777" w:rsidR="00046F06" w:rsidRDefault="00046F06" w:rsidP="00805046"/>
        </w:tc>
        <w:tc>
          <w:tcPr>
            <w:tcW w:w="1787" w:type="dxa"/>
          </w:tcPr>
          <w:p w14:paraId="7EB5A311" w14:textId="77777777" w:rsidR="00046F06" w:rsidRDefault="00046F06" w:rsidP="00805046"/>
        </w:tc>
        <w:tc>
          <w:tcPr>
            <w:tcW w:w="3275" w:type="dxa"/>
          </w:tcPr>
          <w:p w14:paraId="193DD07E" w14:textId="77777777" w:rsidR="00046F06" w:rsidRDefault="00046F06" w:rsidP="00805046"/>
        </w:tc>
      </w:tr>
      <w:tr w:rsidR="00046F06" w14:paraId="07EE87F5" w14:textId="77777777" w:rsidTr="00805046">
        <w:tc>
          <w:tcPr>
            <w:tcW w:w="1131" w:type="dxa"/>
          </w:tcPr>
          <w:p w14:paraId="4D18B3A4" w14:textId="77777777" w:rsidR="00046F06" w:rsidRDefault="00046F06" w:rsidP="00805046"/>
        </w:tc>
        <w:tc>
          <w:tcPr>
            <w:tcW w:w="2031" w:type="dxa"/>
          </w:tcPr>
          <w:p w14:paraId="47B07BE9" w14:textId="77777777" w:rsidR="00046F06" w:rsidRDefault="00046F06" w:rsidP="00805046"/>
        </w:tc>
        <w:tc>
          <w:tcPr>
            <w:tcW w:w="2031" w:type="dxa"/>
          </w:tcPr>
          <w:p w14:paraId="588E719C" w14:textId="77777777" w:rsidR="00046F06" w:rsidRDefault="00046F06" w:rsidP="00805046"/>
        </w:tc>
        <w:tc>
          <w:tcPr>
            <w:tcW w:w="1787" w:type="dxa"/>
          </w:tcPr>
          <w:p w14:paraId="6BA950F3" w14:textId="77777777" w:rsidR="00046F06" w:rsidRDefault="00046F06" w:rsidP="00805046"/>
        </w:tc>
        <w:tc>
          <w:tcPr>
            <w:tcW w:w="3275" w:type="dxa"/>
          </w:tcPr>
          <w:p w14:paraId="59936DF7" w14:textId="77777777" w:rsidR="00046F06" w:rsidRDefault="00046F06" w:rsidP="00805046"/>
        </w:tc>
      </w:tr>
    </w:tbl>
    <w:p w14:paraId="00000002" w14:textId="77777777" w:rsidR="00EB11DA" w:rsidRPr="00046F06" w:rsidRDefault="00EB11DA" w:rsidP="00046F06"/>
    <w:sectPr w:rsidR="00EB11DA" w:rsidRPr="00046F06">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94B9E" w14:textId="77777777" w:rsidR="001A1F2E" w:rsidRDefault="001A1F2E">
      <w:pPr>
        <w:spacing w:after="0" w:line="240" w:lineRule="auto"/>
      </w:pPr>
      <w:r>
        <w:separator/>
      </w:r>
    </w:p>
  </w:endnote>
  <w:endnote w:type="continuationSeparator" w:id="0">
    <w:p w14:paraId="18E8FFD3" w14:textId="77777777" w:rsidR="001A1F2E" w:rsidRDefault="001A1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yriad Pro">
    <w:altName w:val="﷽﷽﷽﷽﷽﷽﷽﷽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Libre Baskerville">
    <w:altName w:val="Calibri"/>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17" w:name="_heading=h.gjdgxs" w:colFirst="0" w:colLast="0"/>
    <w:bookmarkEnd w:id="17"/>
  </w:p>
  <w:p w14:paraId="00000006" w14:textId="77777777" w:rsidR="00EB11DA" w:rsidRDefault="00367D06">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t xml:space="preserve">1550 Larimer St. #769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B0959" w14:textId="77777777" w:rsidR="001A1F2E" w:rsidRDefault="001A1F2E">
      <w:pPr>
        <w:spacing w:after="0" w:line="240" w:lineRule="auto"/>
      </w:pPr>
      <w:r>
        <w:separator/>
      </w:r>
    </w:p>
  </w:footnote>
  <w:footnote w:type="continuationSeparator" w:id="0">
    <w:p w14:paraId="6DBC26C6" w14:textId="77777777" w:rsidR="001A1F2E" w:rsidRDefault="001A1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367D06">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5F70"/>
    <w:multiLevelType w:val="hybridMultilevel"/>
    <w:tmpl w:val="45C2845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34A1A"/>
    <w:multiLevelType w:val="hybridMultilevel"/>
    <w:tmpl w:val="DDFEE15C"/>
    <w:lvl w:ilvl="0" w:tplc="3E22F9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354D1E"/>
    <w:multiLevelType w:val="hybridMultilevel"/>
    <w:tmpl w:val="8536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300D8"/>
    <w:multiLevelType w:val="hybridMultilevel"/>
    <w:tmpl w:val="0FFEC62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7D16027"/>
    <w:multiLevelType w:val="hybridMultilevel"/>
    <w:tmpl w:val="2BB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25FF71A6"/>
    <w:multiLevelType w:val="hybridMultilevel"/>
    <w:tmpl w:val="9F88D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9B5149"/>
    <w:multiLevelType w:val="hybridMultilevel"/>
    <w:tmpl w:val="73BA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0601A"/>
    <w:multiLevelType w:val="multilevel"/>
    <w:tmpl w:val="09BA9D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1E298E"/>
    <w:multiLevelType w:val="hybridMultilevel"/>
    <w:tmpl w:val="3CE80D28"/>
    <w:lvl w:ilvl="0" w:tplc="2EEA2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F05EA"/>
    <w:multiLevelType w:val="hybridMultilevel"/>
    <w:tmpl w:val="2846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FE6B78"/>
    <w:multiLevelType w:val="hybridMultilevel"/>
    <w:tmpl w:val="505EA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8A969C9"/>
    <w:multiLevelType w:val="hybridMultilevel"/>
    <w:tmpl w:val="376E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B1883"/>
    <w:multiLevelType w:val="hybridMultilevel"/>
    <w:tmpl w:val="37D2C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05CD9"/>
    <w:multiLevelType w:val="hybridMultilevel"/>
    <w:tmpl w:val="73A02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5048C"/>
    <w:multiLevelType w:val="multilevel"/>
    <w:tmpl w:val="388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346B7C"/>
    <w:multiLevelType w:val="multilevel"/>
    <w:tmpl w:val="64B605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C445B5E"/>
    <w:multiLevelType w:val="hybridMultilevel"/>
    <w:tmpl w:val="DB64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50F6F"/>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6" w15:restartNumberingAfterBreak="0">
    <w:nsid w:val="5F267406"/>
    <w:multiLevelType w:val="hybridMultilevel"/>
    <w:tmpl w:val="92601210"/>
    <w:lvl w:ilvl="0" w:tplc="0CDA7B5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242175"/>
    <w:multiLevelType w:val="hybridMultilevel"/>
    <w:tmpl w:val="8020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664F63"/>
    <w:multiLevelType w:val="multilevel"/>
    <w:tmpl w:val="B12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B80928"/>
    <w:multiLevelType w:val="hybridMultilevel"/>
    <w:tmpl w:val="907A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D07851"/>
    <w:multiLevelType w:val="hybridMultilevel"/>
    <w:tmpl w:val="2470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401890"/>
    <w:multiLevelType w:val="hybridMultilevel"/>
    <w:tmpl w:val="F97E0FA6"/>
    <w:lvl w:ilvl="0" w:tplc="98907C20">
      <w:start w:val="1"/>
      <w:numFmt w:val="bullet"/>
      <w:lvlText w:val="•"/>
      <w:lvlJc w:val="left"/>
      <w:pPr>
        <w:ind w:left="2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F65A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F85F3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BE32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8C35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6C38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D691A4">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689EBE">
      <w:start w:val="1"/>
      <w:numFmt w:val="bullet"/>
      <w:lvlText w:val="o"/>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0CEB12">
      <w:start w:val="1"/>
      <w:numFmt w:val="bullet"/>
      <w:lvlText w:val="▪"/>
      <w:lvlJc w:val="left"/>
      <w:pPr>
        <w:ind w:left="8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5581AF4"/>
    <w:multiLevelType w:val="hybridMultilevel"/>
    <w:tmpl w:val="09B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2D7A27"/>
    <w:multiLevelType w:val="hybridMultilevel"/>
    <w:tmpl w:val="F434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A67123"/>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71E0DA1"/>
    <w:multiLevelType w:val="hybridMultilevel"/>
    <w:tmpl w:val="F9D6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BF3935"/>
    <w:multiLevelType w:val="hybridMultilevel"/>
    <w:tmpl w:val="8358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22"/>
  </w:num>
  <w:num w:numId="4">
    <w:abstractNumId w:val="3"/>
  </w:num>
  <w:num w:numId="5">
    <w:abstractNumId w:val="6"/>
  </w:num>
  <w:num w:numId="6">
    <w:abstractNumId w:val="21"/>
  </w:num>
  <w:num w:numId="7">
    <w:abstractNumId w:val="35"/>
  </w:num>
  <w:num w:numId="8">
    <w:abstractNumId w:val="12"/>
  </w:num>
  <w:num w:numId="9">
    <w:abstractNumId w:val="33"/>
  </w:num>
  <w:num w:numId="10">
    <w:abstractNumId w:val="0"/>
  </w:num>
  <w:num w:numId="11">
    <w:abstractNumId w:val="28"/>
  </w:num>
  <w:num w:numId="12">
    <w:abstractNumId w:val="15"/>
  </w:num>
  <w:num w:numId="13">
    <w:abstractNumId w:val="37"/>
  </w:num>
  <w:num w:numId="14">
    <w:abstractNumId w:val="13"/>
  </w:num>
  <w:num w:numId="15">
    <w:abstractNumId w:val="34"/>
  </w:num>
  <w:num w:numId="16">
    <w:abstractNumId w:val="10"/>
  </w:num>
  <w:num w:numId="17">
    <w:abstractNumId w:val="11"/>
  </w:num>
  <w:num w:numId="18">
    <w:abstractNumId w:val="2"/>
  </w:num>
  <w:num w:numId="19">
    <w:abstractNumId w:val="29"/>
  </w:num>
  <w:num w:numId="20">
    <w:abstractNumId w:val="1"/>
  </w:num>
  <w:num w:numId="21">
    <w:abstractNumId w:val="9"/>
  </w:num>
  <w:num w:numId="22">
    <w:abstractNumId w:val="30"/>
  </w:num>
  <w:num w:numId="23">
    <w:abstractNumId w:val="5"/>
  </w:num>
  <w:num w:numId="24">
    <w:abstractNumId w:val="25"/>
  </w:num>
  <w:num w:numId="25">
    <w:abstractNumId w:val="32"/>
  </w:num>
  <w:num w:numId="26">
    <w:abstractNumId w:val="16"/>
  </w:num>
  <w:num w:numId="27">
    <w:abstractNumId w:val="36"/>
  </w:num>
  <w:num w:numId="28">
    <w:abstractNumId w:val="20"/>
  </w:num>
  <w:num w:numId="29">
    <w:abstractNumId w:val="7"/>
  </w:num>
  <w:num w:numId="30">
    <w:abstractNumId w:val="27"/>
  </w:num>
  <w:num w:numId="31">
    <w:abstractNumId w:val="23"/>
  </w:num>
  <w:num w:numId="32">
    <w:abstractNumId w:val="24"/>
  </w:num>
  <w:num w:numId="33">
    <w:abstractNumId w:val="17"/>
  </w:num>
  <w:num w:numId="34">
    <w:abstractNumId w:val="39"/>
  </w:num>
  <w:num w:numId="35">
    <w:abstractNumId w:val="18"/>
  </w:num>
  <w:num w:numId="36">
    <w:abstractNumId w:val="19"/>
  </w:num>
  <w:num w:numId="37">
    <w:abstractNumId w:val="4"/>
  </w:num>
  <w:num w:numId="38">
    <w:abstractNumId w:val="31"/>
  </w:num>
  <w:num w:numId="39">
    <w:abstractNumId w:val="38"/>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46F06"/>
    <w:rsid w:val="000C2B76"/>
    <w:rsid w:val="001045D7"/>
    <w:rsid w:val="00130074"/>
    <w:rsid w:val="001706CE"/>
    <w:rsid w:val="00183119"/>
    <w:rsid w:val="001A1F2E"/>
    <w:rsid w:val="001C7E36"/>
    <w:rsid w:val="001D3811"/>
    <w:rsid w:val="00235991"/>
    <w:rsid w:val="002C4000"/>
    <w:rsid w:val="00304628"/>
    <w:rsid w:val="00367D06"/>
    <w:rsid w:val="003A20ED"/>
    <w:rsid w:val="004C4788"/>
    <w:rsid w:val="00536151"/>
    <w:rsid w:val="00546C44"/>
    <w:rsid w:val="00566876"/>
    <w:rsid w:val="006C23A4"/>
    <w:rsid w:val="0070470D"/>
    <w:rsid w:val="00887F58"/>
    <w:rsid w:val="008A69B7"/>
    <w:rsid w:val="008F155A"/>
    <w:rsid w:val="00A1223D"/>
    <w:rsid w:val="00AC167C"/>
    <w:rsid w:val="00AE2C80"/>
    <w:rsid w:val="00B14E8B"/>
    <w:rsid w:val="00B5347F"/>
    <w:rsid w:val="00B57B40"/>
    <w:rsid w:val="00C046E8"/>
    <w:rsid w:val="00D25C01"/>
    <w:rsid w:val="00D7436A"/>
    <w:rsid w:val="00E11994"/>
    <w:rsid w:val="00E44E7E"/>
    <w:rsid w:val="00E817F2"/>
    <w:rsid w:val="00EB11DA"/>
    <w:rsid w:val="00FD5D0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3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link w:val="NormalIndentChar"/>
    <w:rsid w:val="008A69B7"/>
    <w:pPr>
      <w:tabs>
        <w:tab w:val="left" w:pos="432"/>
      </w:tabs>
      <w:spacing w:after="0" w:line="240" w:lineRule="auto"/>
      <w:ind w:left="432"/>
    </w:pPr>
    <w:rPr>
      <w:rFonts w:ascii="Arial" w:eastAsia="Times New Roman" w:hAnsi="Arial" w:cs="Times New Roman"/>
      <w:sz w:val="20"/>
      <w:szCs w:val="24"/>
      <w:lang w:eastAsia="en-US" w:bidi="ar-SA"/>
    </w:rPr>
  </w:style>
  <w:style w:type="character" w:customStyle="1" w:styleId="NormalIndentChar">
    <w:name w:val="Normal Indent Char"/>
    <w:link w:val="NormalIndent"/>
    <w:rsid w:val="008A69B7"/>
    <w:rPr>
      <w:rFonts w:ascii="Arial" w:eastAsia="Times New Roman" w:hAnsi="Arial" w:cs="Times New Roman"/>
      <w:sz w:val="20"/>
      <w:szCs w:val="24"/>
      <w:lang w:eastAsia="en-US" w:bidi="ar-SA"/>
    </w:rPr>
  </w:style>
  <w:style w:type="character" w:customStyle="1" w:styleId="TitleChar">
    <w:name w:val="Title Char"/>
    <w:basedOn w:val="DefaultParagraphFont"/>
    <w:link w:val="Title"/>
    <w:rsid w:val="00887F58"/>
    <w:rPr>
      <w:b/>
      <w:sz w:val="72"/>
      <w:szCs w:val="72"/>
    </w:rPr>
  </w:style>
  <w:style w:type="paragraph" w:styleId="NoSpacing">
    <w:name w:val="No Spacing"/>
    <w:uiPriority w:val="1"/>
    <w:qFormat/>
    <w:rsid w:val="00304628"/>
    <w:pPr>
      <w:spacing w:after="0" w:line="240" w:lineRule="auto"/>
    </w:pPr>
    <w:rPr>
      <w:rFonts w:ascii="Times New Roman" w:eastAsiaTheme="minorHAnsi" w:hAnsi="Times New Roman" w:cstheme="minorBidi"/>
      <w:sz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359351">
      <w:bodyDiv w:val="1"/>
      <w:marLeft w:val="0"/>
      <w:marRight w:val="0"/>
      <w:marTop w:val="0"/>
      <w:marBottom w:val="0"/>
      <w:divBdr>
        <w:top w:val="none" w:sz="0" w:space="0" w:color="auto"/>
        <w:left w:val="none" w:sz="0" w:space="0" w:color="auto"/>
        <w:bottom w:val="none" w:sz="0" w:space="0" w:color="auto"/>
        <w:right w:val="none" w:sz="0" w:space="0" w:color="auto"/>
      </w:divBdr>
    </w:div>
    <w:div w:id="856041602">
      <w:bodyDiv w:val="1"/>
      <w:marLeft w:val="0"/>
      <w:marRight w:val="0"/>
      <w:marTop w:val="0"/>
      <w:marBottom w:val="0"/>
      <w:divBdr>
        <w:top w:val="none" w:sz="0" w:space="0" w:color="auto"/>
        <w:left w:val="none" w:sz="0" w:space="0" w:color="auto"/>
        <w:bottom w:val="none" w:sz="0" w:space="0" w:color="auto"/>
        <w:right w:val="none" w:sz="0" w:space="0" w:color="auto"/>
      </w:divBdr>
      <w:divsChild>
        <w:div w:id="68845194">
          <w:marLeft w:val="0"/>
          <w:marRight w:val="0"/>
          <w:marTop w:val="0"/>
          <w:marBottom w:val="0"/>
          <w:divBdr>
            <w:top w:val="none" w:sz="0" w:space="0" w:color="auto"/>
            <w:left w:val="none" w:sz="0" w:space="0" w:color="auto"/>
            <w:bottom w:val="none" w:sz="0" w:space="0" w:color="auto"/>
            <w:right w:val="none" w:sz="0" w:space="0" w:color="auto"/>
          </w:divBdr>
          <w:divsChild>
            <w:div w:id="4140545">
              <w:marLeft w:val="0"/>
              <w:marRight w:val="0"/>
              <w:marTop w:val="0"/>
              <w:marBottom w:val="0"/>
              <w:divBdr>
                <w:top w:val="none" w:sz="0" w:space="0" w:color="auto"/>
                <w:left w:val="none" w:sz="0" w:space="0" w:color="auto"/>
                <w:bottom w:val="none" w:sz="0" w:space="0" w:color="auto"/>
                <w:right w:val="none" w:sz="0" w:space="0" w:color="auto"/>
              </w:divBdr>
              <w:divsChild>
                <w:div w:id="19046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49352">
      <w:bodyDiv w:val="1"/>
      <w:marLeft w:val="0"/>
      <w:marRight w:val="0"/>
      <w:marTop w:val="0"/>
      <w:marBottom w:val="0"/>
      <w:divBdr>
        <w:top w:val="none" w:sz="0" w:space="0" w:color="auto"/>
        <w:left w:val="none" w:sz="0" w:space="0" w:color="auto"/>
        <w:bottom w:val="none" w:sz="0" w:space="0" w:color="auto"/>
        <w:right w:val="none" w:sz="0" w:space="0" w:color="auto"/>
      </w:divBdr>
    </w:div>
    <w:div w:id="1625577644">
      <w:bodyDiv w:val="1"/>
      <w:marLeft w:val="0"/>
      <w:marRight w:val="0"/>
      <w:marTop w:val="0"/>
      <w:marBottom w:val="0"/>
      <w:divBdr>
        <w:top w:val="none" w:sz="0" w:space="0" w:color="auto"/>
        <w:left w:val="none" w:sz="0" w:space="0" w:color="auto"/>
        <w:bottom w:val="none" w:sz="0" w:space="0" w:color="auto"/>
        <w:right w:val="none" w:sz="0" w:space="0" w:color="auto"/>
      </w:divBdr>
    </w:div>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 w:id="2110346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984279A8E95C549AFE86C3C0A0C3715"/>
        <w:category>
          <w:name w:val="General"/>
          <w:gallery w:val="placeholder"/>
        </w:category>
        <w:types>
          <w:type w:val="bbPlcHdr"/>
        </w:types>
        <w:behaviors>
          <w:behavior w:val="content"/>
        </w:behaviors>
        <w:guid w:val="{0DAA9BC5-BA79-AA48-843C-ECE047981651}"/>
      </w:docPartPr>
      <w:docPartBody>
        <w:p w:rsidR="00000000" w:rsidRDefault="00F13967" w:rsidP="00F13967">
          <w:pPr>
            <w:pStyle w:val="6984279A8E95C549AFE86C3C0A0C3715"/>
          </w:pPr>
          <w:r w:rsidRPr="008E7E75">
            <w:rPr>
              <w:rStyle w:val="PlaceholderText"/>
            </w:rPr>
            <w:t>[Company]</w:t>
          </w:r>
        </w:p>
      </w:docPartBody>
    </w:docPart>
    <w:docPart>
      <w:docPartPr>
        <w:name w:val="B9693948A71BFC409381B0EDE5877850"/>
        <w:category>
          <w:name w:val="General"/>
          <w:gallery w:val="placeholder"/>
        </w:category>
        <w:types>
          <w:type w:val="bbPlcHdr"/>
        </w:types>
        <w:behaviors>
          <w:behavior w:val="content"/>
        </w:behaviors>
        <w:guid w:val="{C65EFD45-13EB-8240-B283-68DDF8763BB7}"/>
      </w:docPartPr>
      <w:docPartBody>
        <w:p w:rsidR="00000000" w:rsidRDefault="00F13967" w:rsidP="00F13967">
          <w:pPr>
            <w:pStyle w:val="B9693948A71BFC409381B0EDE5877850"/>
          </w:pPr>
          <w:r w:rsidRPr="008E7E75">
            <w:rPr>
              <w:rStyle w:val="PlaceholderText"/>
            </w:rPr>
            <w:t>[Company]</w:t>
          </w:r>
        </w:p>
      </w:docPartBody>
    </w:docPart>
    <w:docPart>
      <w:docPartPr>
        <w:name w:val="0B5CE20C1D9B4F4AB3359FD21FFFC358"/>
        <w:category>
          <w:name w:val="General"/>
          <w:gallery w:val="placeholder"/>
        </w:category>
        <w:types>
          <w:type w:val="bbPlcHdr"/>
        </w:types>
        <w:behaviors>
          <w:behavior w:val="content"/>
        </w:behaviors>
        <w:guid w:val="{189C201D-1DC1-704E-8D50-3E8A1F0AB606}"/>
      </w:docPartPr>
      <w:docPartBody>
        <w:p w:rsidR="00000000" w:rsidRDefault="00F13967" w:rsidP="00F13967">
          <w:pPr>
            <w:pStyle w:val="0B5CE20C1D9B4F4AB3359FD21FFFC358"/>
          </w:pPr>
          <w:r w:rsidRPr="008E7E7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yriad Pro">
    <w:altName w:val="﷽﷽﷽﷽﷽﷽﷽﷽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Libre Baskerville">
    <w:altName w:val="Calibri"/>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67"/>
    <w:rsid w:val="00AA6652"/>
    <w:rsid w:val="00F1396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3967"/>
    <w:rPr>
      <w:color w:val="808080"/>
    </w:rPr>
  </w:style>
  <w:style w:type="paragraph" w:customStyle="1" w:styleId="6984279A8E95C549AFE86C3C0A0C3715">
    <w:name w:val="6984279A8E95C549AFE86C3C0A0C3715"/>
    <w:rsid w:val="00F13967"/>
  </w:style>
  <w:style w:type="paragraph" w:customStyle="1" w:styleId="B9693948A71BFC409381B0EDE5877850">
    <w:name w:val="B9693948A71BFC409381B0EDE5877850"/>
    <w:rsid w:val="00F13967"/>
  </w:style>
  <w:style w:type="paragraph" w:customStyle="1" w:styleId="0B5CE20C1D9B4F4AB3359FD21FFFC358">
    <w:name w:val="0B5CE20C1D9B4F4AB3359FD21FFFC358"/>
    <w:rsid w:val="00F13967"/>
  </w:style>
  <w:style w:type="paragraph" w:customStyle="1" w:styleId="824678E5D1C910408D2FCAC3687871EF">
    <w:name w:val="824678E5D1C910408D2FCAC3687871EF"/>
    <w:rsid w:val="00F13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Personnel Security Policy</vt:lpstr>
    </vt:vector>
  </TitlesOfParts>
  <Company>Royalty Exchange</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Personnel Security Policy</dc:title>
  <dc:creator>Jeff</dc:creator>
  <cp:lastModifiedBy>David Veksler</cp:lastModifiedBy>
  <cp:revision>4</cp:revision>
  <dcterms:created xsi:type="dcterms:W3CDTF">2021-05-28T22:35:00Z</dcterms:created>
  <dcterms:modified xsi:type="dcterms:W3CDTF">2021-05-28T22:38:00Z</dcterms:modified>
</cp:coreProperties>
</file>