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C3843" w14:textId="450C3645" w:rsidR="00046F06" w:rsidRDefault="00046F06" w:rsidP="00046F06">
      <w:pPr>
        <w:pStyle w:val="Heading1"/>
      </w:pPr>
      <w:r w:rsidRPr="00046F06">
        <w:t>Third-Party Information Security Risk Management Policy</w:t>
      </w:r>
    </w:p>
    <w:p w14:paraId="653D2F93" w14:textId="1A00C758" w:rsidR="00046F06" w:rsidRPr="00417B1D" w:rsidRDefault="00046F06" w:rsidP="00046F06">
      <w:pPr>
        <w:pStyle w:val="Heading1"/>
      </w:pPr>
      <w:r>
        <w:t>Purpose</w:t>
      </w:r>
    </w:p>
    <w:p w14:paraId="77571030" w14:textId="4FA94623" w:rsidR="00046F06" w:rsidRDefault="00046F06" w:rsidP="00046F06">
      <w:r>
        <w:t>[Company Name] utilizes third-party products and services to support our mission and goals. Third-party relationships carry inherent and residual risks that must be considered as part of our due care and diligence. The Third-Party Information Security Risk Management Policy contains the requirements for how [Company Name] will conduct our third-party information security due diligence.</w:t>
      </w:r>
    </w:p>
    <w:p w14:paraId="6214EFF4" w14:textId="77777777" w:rsidR="00046F06" w:rsidRDefault="00046F06" w:rsidP="00046F06">
      <w:pPr>
        <w:pStyle w:val="Heading1"/>
      </w:pPr>
      <w:r>
        <w:t>Audience</w:t>
      </w:r>
    </w:p>
    <w:p w14:paraId="584660D8" w14:textId="5DC3F3CD" w:rsidR="00046F06" w:rsidRDefault="00046F06" w:rsidP="00046F06">
      <w:r>
        <w:t>This policy applies to all individuals who engage with a third-party on behalf of [Company Name].</w:t>
      </w:r>
    </w:p>
    <w:p w14:paraId="1EFE2C51" w14:textId="77777777" w:rsidR="00046F06" w:rsidRDefault="00046F06" w:rsidP="00046F06">
      <w:pPr>
        <w:pStyle w:val="Heading1"/>
      </w:pPr>
      <w:r>
        <w:t>Definitions</w:t>
      </w:r>
    </w:p>
    <w:p w14:paraId="17F6DDD8" w14:textId="77777777" w:rsidR="00046F06" w:rsidRPr="009A5C16" w:rsidRDefault="00046F06" w:rsidP="00046F06">
      <w:r>
        <w:t>The following definitions apply only to aid the understanding of the reader of this policy:</w:t>
      </w:r>
    </w:p>
    <w:p w14:paraId="74A966B5" w14:textId="0A3268B5" w:rsidR="00046F06" w:rsidRDefault="00046F06" w:rsidP="00046F06">
      <w:pPr>
        <w:pStyle w:val="ListParagraph"/>
        <w:numPr>
          <w:ilvl w:val="0"/>
          <w:numId w:val="33"/>
        </w:numPr>
      </w:pPr>
      <w:r>
        <w:t>Employee – defined as a person who is a part-time or full-time hourly or salaried employee who is performing work for [Company Name] as an employee, and not an independent contractor. Sometimes referred to as a “W2 employee”.</w:t>
      </w:r>
    </w:p>
    <w:p w14:paraId="21D61349" w14:textId="3551748B" w:rsidR="00046F06" w:rsidRDefault="00046F06" w:rsidP="00046F06">
      <w:pPr>
        <w:pStyle w:val="ListParagraph"/>
        <w:numPr>
          <w:ilvl w:val="0"/>
          <w:numId w:val="33"/>
        </w:numPr>
      </w:pPr>
      <w:r>
        <w:t>Third-party or 3rd-party – any person or organization who provides a service or product to [Company Name] and is not an employee.</w:t>
      </w:r>
    </w:p>
    <w:p w14:paraId="2CAE8FCB" w14:textId="7E948382" w:rsidR="00046F06" w:rsidRDefault="00046F06" w:rsidP="00046F06">
      <w:pPr>
        <w:pStyle w:val="ListParagraph"/>
        <w:numPr>
          <w:ilvl w:val="0"/>
          <w:numId w:val="33"/>
        </w:numPr>
      </w:pPr>
      <w:r>
        <w:t>Information Resources – any system involved in the creation, use, management, storage, and/or destruction of [Company Name] information and the information itself.</w:t>
      </w:r>
    </w:p>
    <w:p w14:paraId="3FCF2208" w14:textId="77777777" w:rsidR="00046F06" w:rsidRDefault="00046F06" w:rsidP="00046F06">
      <w:pPr>
        <w:pStyle w:val="ListParagraph"/>
        <w:numPr>
          <w:ilvl w:val="0"/>
          <w:numId w:val="33"/>
        </w:numPr>
      </w:pPr>
      <w:r>
        <w:rPr>
          <w:b/>
          <w:bCs/>
        </w:rPr>
        <w:t xml:space="preserve">Inherent information security risk </w:t>
      </w:r>
      <w:r>
        <w:t>– the information security risk related to the nature of the 3</w:t>
      </w:r>
      <w:r w:rsidRPr="00AB5C4B">
        <w:rPr>
          <w:vertAlign w:val="superscript"/>
        </w:rPr>
        <w:t>rd</w:t>
      </w:r>
      <w:r>
        <w:t xml:space="preserve">-party relationship without accounting for any protections or controls. Inherent risk </w:t>
      </w:r>
      <w:proofErr w:type="gramStart"/>
      <w:r>
        <w:t>is sometimes referred</w:t>
      </w:r>
      <w:proofErr w:type="gramEnd"/>
      <w:r>
        <w:t xml:space="preserve"> to as “impact” and is used to classify third-party relationships as an indicator of what additional due diligence may be warranted.</w:t>
      </w:r>
    </w:p>
    <w:p w14:paraId="08596B18" w14:textId="77777777" w:rsidR="00046F06" w:rsidRDefault="00046F06" w:rsidP="00046F06">
      <w:pPr>
        <w:pStyle w:val="ListParagraph"/>
        <w:numPr>
          <w:ilvl w:val="0"/>
          <w:numId w:val="33"/>
        </w:numPr>
      </w:pPr>
      <w:r>
        <w:rPr>
          <w:b/>
          <w:bCs/>
        </w:rPr>
        <w:t xml:space="preserve">Residual information security risk </w:t>
      </w:r>
      <w:r>
        <w:t xml:space="preserve">– the information security risk remaining once all applicable protections and controls </w:t>
      </w:r>
      <w:proofErr w:type="gramStart"/>
      <w:r>
        <w:t>are accounted</w:t>
      </w:r>
      <w:proofErr w:type="gramEnd"/>
      <w:r>
        <w:t xml:space="preserve"> for.</w:t>
      </w:r>
    </w:p>
    <w:p w14:paraId="696E378E" w14:textId="77777777" w:rsidR="00046F06" w:rsidRDefault="00046F06" w:rsidP="00046F06">
      <w:pPr>
        <w:pStyle w:val="Heading1"/>
      </w:pPr>
      <w:r>
        <w:lastRenderedPageBreak/>
        <w:t>Policy</w:t>
      </w:r>
    </w:p>
    <w:p w14:paraId="4456397F" w14:textId="77777777" w:rsidR="00046F06" w:rsidRDefault="00046F06" w:rsidP="00046F06">
      <w:r>
        <w:t xml:space="preserve">The policy </w:t>
      </w:r>
      <w:proofErr w:type="gramStart"/>
      <w:r>
        <w:t>is organized</w:t>
      </w:r>
      <w:proofErr w:type="gramEnd"/>
      <w:r>
        <w:t xml:space="preserve"> into three sections; general, physical, and technical according to the precaution or requirement specified.</w:t>
      </w:r>
    </w:p>
    <w:p w14:paraId="3AE8A117" w14:textId="77777777" w:rsidR="00046F06" w:rsidRDefault="00046F06" w:rsidP="00046F06">
      <w:pPr>
        <w:pStyle w:val="Heading2"/>
      </w:pPr>
      <w:r>
        <w:t>Assessments</w:t>
      </w:r>
    </w:p>
    <w:p w14:paraId="0978D509" w14:textId="06BAB3E2" w:rsidR="00046F06" w:rsidRDefault="00046F06" w:rsidP="00046F06">
      <w:pPr>
        <w:pStyle w:val="ListParagraph"/>
        <w:numPr>
          <w:ilvl w:val="0"/>
          <w:numId w:val="34"/>
        </w:numPr>
      </w:pPr>
      <w:r>
        <w:t>Every 3rd-party granted access to [Company Name] Information Resources must sign the [Company Name] Third-Party Non-Disclosure Agreement and Business Associate Agreement (if applicable).</w:t>
      </w:r>
    </w:p>
    <w:p w14:paraId="7B918066" w14:textId="12877DF7" w:rsidR="00046F06" w:rsidRDefault="00046F06" w:rsidP="00046F06">
      <w:pPr>
        <w:pStyle w:val="ListParagraph"/>
        <w:numPr>
          <w:ilvl w:val="0"/>
          <w:numId w:val="34"/>
        </w:numPr>
      </w:pPr>
      <w:r>
        <w:t>All 3rd-party relationships must be evaluated for inherent information security risk prior to any interaction with [Company Name] Information Resources.</w:t>
      </w:r>
    </w:p>
    <w:p w14:paraId="17F7C9DC" w14:textId="77777777" w:rsidR="00046F06" w:rsidRDefault="00046F06" w:rsidP="00046F06">
      <w:pPr>
        <w:pStyle w:val="ListParagraph"/>
        <w:numPr>
          <w:ilvl w:val="0"/>
          <w:numId w:val="34"/>
        </w:numPr>
      </w:pPr>
      <w:r>
        <w:t>Criteria for inherent risk classifications must be established; “High</w:t>
      </w:r>
      <w:proofErr w:type="gramStart"/>
      <w:r>
        <w:t>”,</w:t>
      </w:r>
      <w:proofErr w:type="gramEnd"/>
      <w:r>
        <w:t xml:space="preserve"> “Medium”, and “Low”.</w:t>
      </w:r>
    </w:p>
    <w:p w14:paraId="1807B9B1" w14:textId="32F88E70" w:rsidR="00046F06" w:rsidRDefault="00046F06" w:rsidP="00046F06">
      <w:pPr>
        <w:pStyle w:val="ListParagraph"/>
        <w:numPr>
          <w:ilvl w:val="0"/>
          <w:numId w:val="34"/>
        </w:numPr>
      </w:pPr>
      <w:r>
        <w:t>All 3rd-party relationships must be re-evaluated for inherent information security risk bi-annually and any time there is a material change in how [Company Name] utilizes the third-party product or service.</w:t>
      </w:r>
    </w:p>
    <w:p w14:paraId="7B6B7AB0" w14:textId="77777777" w:rsidR="00046F06" w:rsidRDefault="00046F06" w:rsidP="00046F06">
      <w:pPr>
        <w:pStyle w:val="ListParagraph"/>
        <w:numPr>
          <w:ilvl w:val="0"/>
          <w:numId w:val="34"/>
        </w:numPr>
      </w:pPr>
      <w:r>
        <w:t>3</w:t>
      </w:r>
      <w:r w:rsidRPr="00432490">
        <w:rPr>
          <w:vertAlign w:val="superscript"/>
        </w:rPr>
        <w:t>rd</w:t>
      </w:r>
      <w:r>
        <w:t xml:space="preserve">-party relationships with significant inherent risk (classified as “High” or “Medium”) must </w:t>
      </w:r>
      <w:proofErr w:type="gramStart"/>
      <w:r>
        <w:t>be evaluated</w:t>
      </w:r>
      <w:proofErr w:type="gramEnd"/>
      <w:r>
        <w:t xml:space="preserve"> for residual risk using questionnaires, publicly available information, and/or technical tools.</w:t>
      </w:r>
    </w:p>
    <w:p w14:paraId="654EA566" w14:textId="77777777" w:rsidR="00046F06" w:rsidRDefault="00046F06" w:rsidP="00046F06">
      <w:pPr>
        <w:pStyle w:val="ListParagraph"/>
        <w:numPr>
          <w:ilvl w:val="0"/>
          <w:numId w:val="34"/>
        </w:numPr>
      </w:pPr>
      <w:r>
        <w:t>Residual information security risk assessments must account for administrative, physical, and technical controls.</w:t>
      </w:r>
    </w:p>
    <w:p w14:paraId="152C36D0" w14:textId="77777777" w:rsidR="00046F06" w:rsidRDefault="00046F06" w:rsidP="00046F06">
      <w:pPr>
        <w:pStyle w:val="ListParagraph"/>
        <w:numPr>
          <w:ilvl w:val="0"/>
          <w:numId w:val="34"/>
        </w:numPr>
      </w:pPr>
      <w:r>
        <w:t xml:space="preserve">Residual information security risk thresholds must </w:t>
      </w:r>
      <w:proofErr w:type="gramStart"/>
      <w:r>
        <w:t>be established</w:t>
      </w:r>
      <w:proofErr w:type="gramEnd"/>
      <w:r>
        <w:t xml:space="preserve"> for 3</w:t>
      </w:r>
      <w:r w:rsidRPr="007A1D7F">
        <w:rPr>
          <w:vertAlign w:val="superscript"/>
        </w:rPr>
        <w:t>rd</w:t>
      </w:r>
      <w:r>
        <w:t>-party relationships with significant inherent risk (classified as “High” or “Medium”).</w:t>
      </w:r>
    </w:p>
    <w:p w14:paraId="5C3F8D99" w14:textId="77777777" w:rsidR="00046F06" w:rsidRDefault="00046F06" w:rsidP="00046F06">
      <w:pPr>
        <w:pStyle w:val="ListParagraph"/>
        <w:numPr>
          <w:ilvl w:val="0"/>
          <w:numId w:val="34"/>
        </w:numPr>
      </w:pPr>
      <w:r>
        <w:t>3</w:t>
      </w:r>
      <w:r w:rsidRPr="007A1D7F">
        <w:rPr>
          <w:vertAlign w:val="superscript"/>
        </w:rPr>
        <w:t>rd</w:t>
      </w:r>
      <w:r>
        <w:t>-party relationships that do not meet established residual information security risk thresholds:</w:t>
      </w:r>
    </w:p>
    <w:p w14:paraId="0D27FDBA" w14:textId="77777777" w:rsidR="00046F06" w:rsidRDefault="00046F06" w:rsidP="00046F06">
      <w:pPr>
        <w:pStyle w:val="ListParagraph"/>
        <w:numPr>
          <w:ilvl w:val="1"/>
          <w:numId w:val="34"/>
        </w:numPr>
      </w:pPr>
      <w:r>
        <w:t xml:space="preserve">Must </w:t>
      </w:r>
      <w:proofErr w:type="gramStart"/>
      <w:r>
        <w:t>be terminated</w:t>
      </w:r>
      <w:proofErr w:type="gramEnd"/>
      <w:r>
        <w:t>,</w:t>
      </w:r>
    </w:p>
    <w:p w14:paraId="523D8590" w14:textId="77777777" w:rsidR="00046F06" w:rsidRDefault="00046F06" w:rsidP="00046F06">
      <w:pPr>
        <w:pStyle w:val="ListParagraph"/>
        <w:numPr>
          <w:ilvl w:val="1"/>
          <w:numId w:val="34"/>
        </w:numPr>
      </w:pPr>
      <w:r>
        <w:t xml:space="preserve">Must </w:t>
      </w:r>
      <w:proofErr w:type="gramStart"/>
      <w:r>
        <w:t>be formally approved</w:t>
      </w:r>
      <w:proofErr w:type="gramEnd"/>
      <w:r>
        <w:t xml:space="preserve"> by executive management following an established waiver process, and/or;</w:t>
      </w:r>
    </w:p>
    <w:p w14:paraId="1D39B99C" w14:textId="50594276" w:rsidR="00046F06" w:rsidRDefault="00046F06" w:rsidP="00046F06">
      <w:pPr>
        <w:pStyle w:val="ListParagraph"/>
        <w:numPr>
          <w:ilvl w:val="1"/>
          <w:numId w:val="34"/>
        </w:numPr>
      </w:pPr>
      <w:r>
        <w:t>Changed in a manner that reduces inherent and/or residual information security risk to meet [Company Name] established thresholds.</w:t>
      </w:r>
    </w:p>
    <w:p w14:paraId="4A925669" w14:textId="77777777" w:rsidR="00046F06" w:rsidRDefault="00046F06" w:rsidP="00046F06">
      <w:pPr>
        <w:pStyle w:val="ListParagraph"/>
        <w:numPr>
          <w:ilvl w:val="0"/>
          <w:numId w:val="34"/>
        </w:numPr>
      </w:pPr>
      <w:r>
        <w:t>3</w:t>
      </w:r>
      <w:r w:rsidRPr="00432490">
        <w:rPr>
          <w:vertAlign w:val="superscript"/>
        </w:rPr>
        <w:t>rd</w:t>
      </w:r>
      <w:r>
        <w:t>-party relationships concerning industry and/or regulatory requirements (</w:t>
      </w:r>
      <w:proofErr w:type="gramStart"/>
      <w:r>
        <w:t>i.e.</w:t>
      </w:r>
      <w:proofErr w:type="gramEnd"/>
      <w:r>
        <w:t xml:space="preserve"> PCI-DSS, HIPAA, etc.) must be reviewed on no less frequent than an annual basis.</w:t>
      </w:r>
    </w:p>
    <w:p w14:paraId="6B09D195" w14:textId="77777777" w:rsidR="00046F06" w:rsidRDefault="00046F06" w:rsidP="00046F06">
      <w:pPr>
        <w:pStyle w:val="Heading2"/>
      </w:pPr>
      <w:r>
        <w:t>Management</w:t>
      </w:r>
    </w:p>
    <w:p w14:paraId="72BA405B" w14:textId="77777777" w:rsidR="00046F06" w:rsidRDefault="00046F06" w:rsidP="00046F06">
      <w:pPr>
        <w:pStyle w:val="ListParagraph"/>
        <w:numPr>
          <w:ilvl w:val="0"/>
          <w:numId w:val="36"/>
        </w:numPr>
      </w:pPr>
      <w:r>
        <w:t>3</w:t>
      </w:r>
      <w:r w:rsidRPr="00BA3848">
        <w:rPr>
          <w:vertAlign w:val="superscript"/>
        </w:rPr>
        <w:t>rd</w:t>
      </w:r>
      <w:r>
        <w:t>-party agreements and contracts must specify:</w:t>
      </w:r>
    </w:p>
    <w:p w14:paraId="6E43CD61" w14:textId="357DBF9A" w:rsidR="00046F06" w:rsidRDefault="00046F06" w:rsidP="00046F06">
      <w:pPr>
        <w:pStyle w:val="ListParagraph"/>
        <w:numPr>
          <w:ilvl w:val="1"/>
          <w:numId w:val="36"/>
        </w:numPr>
      </w:pPr>
      <w:r>
        <w:t>The [Company Name] information the vendor should have access to,</w:t>
      </w:r>
    </w:p>
    <w:p w14:paraId="3A2AF8DA" w14:textId="21AE5182" w:rsidR="00046F06" w:rsidRDefault="00046F06" w:rsidP="00046F06">
      <w:pPr>
        <w:pStyle w:val="ListParagraph"/>
        <w:numPr>
          <w:ilvl w:val="1"/>
          <w:numId w:val="36"/>
        </w:numPr>
      </w:pPr>
      <w:r>
        <w:t>How [Company Name] information is to be protected by the 3rd-party,</w:t>
      </w:r>
    </w:p>
    <w:p w14:paraId="1D998B5B" w14:textId="6366613F" w:rsidR="00046F06" w:rsidRDefault="00046F06" w:rsidP="00046F06">
      <w:pPr>
        <w:pStyle w:val="ListParagraph"/>
        <w:numPr>
          <w:ilvl w:val="1"/>
          <w:numId w:val="36"/>
        </w:numPr>
      </w:pPr>
      <w:r>
        <w:t>How [Company Name] information is to be transferred between [Company Name] and the 3rd-party,</w:t>
      </w:r>
    </w:p>
    <w:p w14:paraId="2683D277" w14:textId="460B04E4" w:rsidR="00046F06" w:rsidRDefault="00046F06" w:rsidP="00046F06">
      <w:pPr>
        <w:pStyle w:val="ListParagraph"/>
        <w:numPr>
          <w:ilvl w:val="1"/>
          <w:numId w:val="36"/>
        </w:numPr>
      </w:pPr>
      <w:r>
        <w:t>Acceptable methods for the return, destruction or disposal of [Company Name] information in the 3rd-party’s possession at the end of the relationship/contract,</w:t>
      </w:r>
    </w:p>
    <w:p w14:paraId="2A2DDFBF" w14:textId="77777777" w:rsidR="00046F06" w:rsidRDefault="00046F06" w:rsidP="00046F06">
      <w:pPr>
        <w:pStyle w:val="ListParagraph"/>
        <w:numPr>
          <w:ilvl w:val="1"/>
          <w:numId w:val="36"/>
        </w:numPr>
      </w:pPr>
      <w:r>
        <w:t>Minimum information security requirements,</w:t>
      </w:r>
    </w:p>
    <w:p w14:paraId="3CED64EC" w14:textId="77777777" w:rsidR="00046F06" w:rsidRDefault="00046F06" w:rsidP="00046F06">
      <w:pPr>
        <w:pStyle w:val="ListParagraph"/>
        <w:numPr>
          <w:ilvl w:val="1"/>
          <w:numId w:val="36"/>
        </w:numPr>
      </w:pPr>
      <w:r>
        <w:t>Information security incident response and notification requirements,</w:t>
      </w:r>
    </w:p>
    <w:p w14:paraId="7A4596F6" w14:textId="127E4905" w:rsidR="00046F06" w:rsidRDefault="00046F06" w:rsidP="00046F06">
      <w:pPr>
        <w:pStyle w:val="ListParagraph"/>
        <w:numPr>
          <w:ilvl w:val="1"/>
          <w:numId w:val="36"/>
        </w:numPr>
      </w:pPr>
      <w:r>
        <w:t>Right for [Company Name] to audit 3rd-party information security protections and controls.</w:t>
      </w:r>
    </w:p>
    <w:p w14:paraId="5ABD446A" w14:textId="28131029" w:rsidR="00046F06" w:rsidRDefault="00046F06" w:rsidP="00046F06">
      <w:pPr>
        <w:pStyle w:val="ListParagraph"/>
        <w:numPr>
          <w:ilvl w:val="0"/>
          <w:numId w:val="35"/>
        </w:numPr>
      </w:pPr>
      <w:r>
        <w:t>If the 3rd-party subcontracts part of the information and communication technology service provided to [Company Name], the 3rd-party is required to ensure appropriate information security practices are followed throughout the supply chain,</w:t>
      </w:r>
    </w:p>
    <w:p w14:paraId="29F689D3" w14:textId="3743D0C1" w:rsidR="00046F06" w:rsidRDefault="00046F06" w:rsidP="00046F06">
      <w:pPr>
        <w:pStyle w:val="ListParagraph"/>
        <w:numPr>
          <w:ilvl w:val="0"/>
          <w:numId w:val="35"/>
        </w:numPr>
      </w:pPr>
      <w:r>
        <w:t>The 3rd-party must only use [Company Name] Information Resources for the purpose of the business agreement and/or contract,</w:t>
      </w:r>
    </w:p>
    <w:p w14:paraId="72122C08" w14:textId="4E67E5F9" w:rsidR="00046F06" w:rsidRDefault="00046F06" w:rsidP="00046F06">
      <w:pPr>
        <w:pStyle w:val="ListParagraph"/>
        <w:numPr>
          <w:ilvl w:val="0"/>
          <w:numId w:val="35"/>
        </w:numPr>
      </w:pPr>
      <w:r>
        <w:t>Work outside of defined parameters in the contract must be approved in writing by the appropriate [Company Name] point of contact.</w:t>
      </w:r>
    </w:p>
    <w:p w14:paraId="3E301A94" w14:textId="77777777" w:rsidR="00046F06" w:rsidRDefault="00046F06" w:rsidP="00046F06">
      <w:pPr>
        <w:pStyle w:val="ListParagraph"/>
        <w:numPr>
          <w:ilvl w:val="0"/>
          <w:numId w:val="35"/>
        </w:numPr>
      </w:pPr>
      <w:r>
        <w:t>3</w:t>
      </w:r>
      <w:r w:rsidRPr="00BA3848">
        <w:rPr>
          <w:vertAlign w:val="superscript"/>
        </w:rPr>
        <w:t>rd</w:t>
      </w:r>
      <w:r>
        <w:t xml:space="preserve">-party performance must </w:t>
      </w:r>
      <w:proofErr w:type="gramStart"/>
      <w:r>
        <w:t>be reviewed</w:t>
      </w:r>
      <w:proofErr w:type="gramEnd"/>
      <w:r>
        <w:t xml:space="preserve"> annually to ensure compliance with agreed upon contracts and/or service level agreements (SLAs). In the event of non-compliance with contracts or SLAs regular meetings will </w:t>
      </w:r>
      <w:proofErr w:type="gramStart"/>
      <w:r>
        <w:t>be conducted</w:t>
      </w:r>
      <w:proofErr w:type="gramEnd"/>
      <w:r>
        <w:t xml:space="preserve"> until performance requirements are met.</w:t>
      </w:r>
    </w:p>
    <w:p w14:paraId="56787A5A" w14:textId="77777777" w:rsidR="00046F06" w:rsidRDefault="00046F06" w:rsidP="00046F06">
      <w:pPr>
        <w:pStyle w:val="ListParagraph"/>
        <w:numPr>
          <w:ilvl w:val="0"/>
          <w:numId w:val="35"/>
        </w:numPr>
      </w:pPr>
      <w:r>
        <w:t>The 3</w:t>
      </w:r>
      <w:r w:rsidRPr="00F7162F">
        <w:rPr>
          <w:vertAlign w:val="superscript"/>
        </w:rPr>
        <w:t>rd</w:t>
      </w:r>
      <w:r>
        <w:t xml:space="preserve">-party’s major IT work activities must </w:t>
      </w:r>
      <w:proofErr w:type="gramStart"/>
      <w:r>
        <w:t>be entered</w:t>
      </w:r>
      <w:proofErr w:type="gramEnd"/>
      <w:r>
        <w:t xml:space="preserve"> into or captured in a log:</w:t>
      </w:r>
    </w:p>
    <w:p w14:paraId="66FABFAF" w14:textId="0BE99307" w:rsidR="00046F06" w:rsidRDefault="00046F06" w:rsidP="00046F06">
      <w:pPr>
        <w:pStyle w:val="ListParagraph"/>
        <w:numPr>
          <w:ilvl w:val="1"/>
          <w:numId w:val="35"/>
        </w:numPr>
      </w:pPr>
      <w:r>
        <w:t>Made available to [Company Name] IT management upon request, and</w:t>
      </w:r>
    </w:p>
    <w:p w14:paraId="3C98997B" w14:textId="77777777" w:rsidR="00046F06" w:rsidRDefault="00046F06" w:rsidP="00046F06">
      <w:pPr>
        <w:pStyle w:val="ListParagraph"/>
        <w:numPr>
          <w:ilvl w:val="1"/>
          <w:numId w:val="35"/>
        </w:numPr>
      </w:pPr>
      <w:r>
        <w:t>Must include events such as personnel changes, password changes, project milestones, deliverables, and arrival and departure times.</w:t>
      </w:r>
    </w:p>
    <w:p w14:paraId="4544D5A8" w14:textId="73D0C3F6" w:rsidR="00046F06" w:rsidRDefault="00046F06" w:rsidP="00046F06">
      <w:pPr>
        <w:pStyle w:val="ListParagraph"/>
        <w:numPr>
          <w:ilvl w:val="0"/>
          <w:numId w:val="37"/>
        </w:numPr>
      </w:pPr>
      <w:r>
        <w:t>Any other [Company Name] information acquired by the 3rd-party during the contract cannot be used for the 3rd-party’s own purposes or divulged to others.</w:t>
      </w:r>
    </w:p>
    <w:p w14:paraId="7CC55CED" w14:textId="6BD90A52" w:rsidR="00046F06" w:rsidRDefault="00046F06" w:rsidP="00046F06">
      <w:pPr>
        <w:pStyle w:val="ListParagraph"/>
        <w:numPr>
          <w:ilvl w:val="0"/>
          <w:numId w:val="37"/>
        </w:numPr>
      </w:pPr>
      <w:r>
        <w:t>3rd-party personnel must report all security incidents directly to the appropriate [Company Name] IT personnel.</w:t>
      </w:r>
    </w:p>
    <w:p w14:paraId="3A8AFA91" w14:textId="129071C8" w:rsidR="00046F06" w:rsidRDefault="00046F06" w:rsidP="00046F06">
      <w:pPr>
        <w:pStyle w:val="ListParagraph"/>
        <w:numPr>
          <w:ilvl w:val="0"/>
          <w:numId w:val="37"/>
        </w:numPr>
      </w:pPr>
      <w:r>
        <w:t>[Company Name] IT will provide a technical point of contact for the 3rd-party. The point of contact will work with the 3rd-party to ensure compliance with this policy.</w:t>
      </w:r>
    </w:p>
    <w:p w14:paraId="00BB59EE" w14:textId="5623BCB0" w:rsidR="00046F06" w:rsidRDefault="00046F06" w:rsidP="00046F06">
      <w:pPr>
        <w:pStyle w:val="ListParagraph"/>
        <w:numPr>
          <w:ilvl w:val="0"/>
          <w:numId w:val="37"/>
        </w:numPr>
      </w:pPr>
      <w:r>
        <w:t>3rd-parties must provide [Company Name] a list of key personnel working on the contract when requested.</w:t>
      </w:r>
    </w:p>
    <w:p w14:paraId="2E75BD5A" w14:textId="1205DD1E" w:rsidR="00046F06" w:rsidRDefault="00046F06" w:rsidP="00046F06">
      <w:pPr>
        <w:pStyle w:val="ListParagraph"/>
        <w:numPr>
          <w:ilvl w:val="0"/>
          <w:numId w:val="37"/>
        </w:numPr>
      </w:pPr>
      <w:r>
        <w:t>3rd-parties must provide [Company Name] with notification of key staff changes within 24 hours of change.</w:t>
      </w:r>
    </w:p>
    <w:p w14:paraId="75EE00E2" w14:textId="5A2293B6" w:rsidR="00046F06" w:rsidRDefault="00046F06" w:rsidP="00046F06">
      <w:pPr>
        <w:pStyle w:val="ListParagraph"/>
        <w:numPr>
          <w:ilvl w:val="0"/>
          <w:numId w:val="37"/>
        </w:numPr>
      </w:pPr>
      <w:r>
        <w:t>Upon departure of a 3rd-party employee from a contract, for any reason, the 3rd-party will ensure all sensitive information is collected and returned to [Company Name] or destroyed within 24 hours.</w:t>
      </w:r>
    </w:p>
    <w:p w14:paraId="46A4C59D" w14:textId="77777777" w:rsidR="00046F06" w:rsidRDefault="00046F06" w:rsidP="00046F06">
      <w:pPr>
        <w:pStyle w:val="ListParagraph"/>
        <w:numPr>
          <w:ilvl w:val="0"/>
          <w:numId w:val="37"/>
        </w:numPr>
      </w:pPr>
      <w:r>
        <w:t>Upon termination of contract, 3</w:t>
      </w:r>
      <w:r w:rsidRPr="00F7162F">
        <w:rPr>
          <w:vertAlign w:val="superscript"/>
        </w:rPr>
        <w:t>rd</w:t>
      </w:r>
      <w:r>
        <w:t xml:space="preserve">-parties must </w:t>
      </w:r>
      <w:proofErr w:type="gramStart"/>
      <w:r>
        <w:t>be reminded</w:t>
      </w:r>
      <w:proofErr w:type="gramEnd"/>
      <w:r>
        <w:t xml:space="preserve"> of confidentiality and non-disclosure requirements.</w:t>
      </w:r>
    </w:p>
    <w:p w14:paraId="3A3E02A9" w14:textId="27BCE172" w:rsidR="00046F06" w:rsidRDefault="00046F06" w:rsidP="00046F06">
      <w:pPr>
        <w:pStyle w:val="ListParagraph"/>
        <w:numPr>
          <w:ilvl w:val="0"/>
          <w:numId w:val="37"/>
        </w:numPr>
      </w:pPr>
      <w:r>
        <w:t>Upon termination of contract or at the request of [Company Name], the 3rd-party must surrender all [Company Name] badges, access cards, equipment and supplies immediately.</w:t>
      </w:r>
    </w:p>
    <w:p w14:paraId="77F8D313" w14:textId="6AB1CD18" w:rsidR="00046F06" w:rsidRDefault="00046F06" w:rsidP="00046F06">
      <w:pPr>
        <w:pStyle w:val="ListParagraph"/>
        <w:numPr>
          <w:ilvl w:val="0"/>
          <w:numId w:val="37"/>
        </w:numPr>
      </w:pPr>
      <w:r>
        <w:t>Any equipment and/or supplies to be retained by the 3rd-party must be documented by authorized [Company Name] IT management.</w:t>
      </w:r>
    </w:p>
    <w:p w14:paraId="1FC67D42" w14:textId="77777777" w:rsidR="00046F06" w:rsidRDefault="00046F06" w:rsidP="00046F06">
      <w:pPr>
        <w:pStyle w:val="Heading1"/>
      </w:pPr>
      <w:r>
        <w:t>Waivers</w:t>
      </w:r>
    </w:p>
    <w:p w14:paraId="1CC02279" w14:textId="60CEFE07" w:rsidR="00046F06" w:rsidRDefault="00046F06" w:rsidP="00046F06">
      <w:r>
        <w:t>Waivers from certain and specific policy provisions may be sought following the [Company Name] Waiver Process. There are no exceptions to any provisions noted in this policy until and unless a waiver has been granted.</w:t>
      </w:r>
    </w:p>
    <w:p w14:paraId="11F7391A" w14:textId="77777777" w:rsidR="00046F06" w:rsidRDefault="00046F06" w:rsidP="00046F06">
      <w:pPr>
        <w:pStyle w:val="Heading1"/>
      </w:pPr>
      <w:r>
        <w:t>Enforcement</w:t>
      </w:r>
    </w:p>
    <w:p w14:paraId="54565650" w14:textId="537FE8D0" w:rsidR="00046F06" w:rsidRDefault="00046F06" w:rsidP="00046F06">
      <w:r>
        <w:t>This Third-Party Information Security Risk Management Policy supplements and compliments all other related information security policies, it does not supersede any such policy or vice versa. Where there are any perceived or unintended conflicts between [Company Name] policies, they must be brought to the attention of [Company Name] for immediate reconciliation.</w:t>
      </w:r>
    </w:p>
    <w:p w14:paraId="0F3A19ED" w14:textId="77777777" w:rsidR="00046F06" w:rsidRDefault="00046F06" w:rsidP="00046F06">
      <w:r>
        <w:t>Personnel found to have violated any provision of this policy may be subject to sanctions up to and including removal of access rights, termination of employment, termination of contract(s), and/or related civil or criminal penalties.</w:t>
      </w:r>
    </w:p>
    <w:p w14:paraId="43014AED" w14:textId="77777777" w:rsidR="00046F06" w:rsidRDefault="00046F06" w:rsidP="00046F06">
      <w:pPr>
        <w:pStyle w:val="Heading1"/>
      </w:pPr>
      <w:r>
        <w:t>Version History</w:t>
      </w:r>
    </w:p>
    <w:tbl>
      <w:tblPr>
        <w:tblStyle w:val="TableGrid"/>
        <w:tblW w:w="10255" w:type="dxa"/>
        <w:tblLook w:val="04A0" w:firstRow="1" w:lastRow="0" w:firstColumn="1" w:lastColumn="0" w:noHBand="0" w:noVBand="1"/>
      </w:tblPr>
      <w:tblGrid>
        <w:gridCol w:w="1131"/>
        <w:gridCol w:w="2031"/>
        <w:gridCol w:w="2031"/>
        <w:gridCol w:w="1787"/>
        <w:gridCol w:w="3275"/>
      </w:tblGrid>
      <w:tr w:rsidR="00046F06" w:rsidRPr="002F022E" w14:paraId="7A4E4322" w14:textId="77777777" w:rsidTr="00805046">
        <w:trPr>
          <w:trHeight w:hRule="exact" w:val="432"/>
        </w:trPr>
        <w:tc>
          <w:tcPr>
            <w:tcW w:w="1131" w:type="dxa"/>
            <w:shd w:val="clear" w:color="auto" w:fill="D9D9D9" w:themeFill="background1" w:themeFillShade="D9"/>
            <w:vAlign w:val="center"/>
          </w:tcPr>
          <w:p w14:paraId="23A437EC" w14:textId="77777777" w:rsidR="00046F06" w:rsidRPr="002F022E" w:rsidRDefault="00046F06" w:rsidP="00805046">
            <w:pPr>
              <w:jc w:val="center"/>
              <w:rPr>
                <w:b/>
                <w:bCs/>
              </w:rPr>
            </w:pPr>
            <w:r w:rsidRPr="002F022E">
              <w:rPr>
                <w:b/>
                <w:bCs/>
              </w:rPr>
              <w:t>Version</w:t>
            </w:r>
          </w:p>
        </w:tc>
        <w:tc>
          <w:tcPr>
            <w:tcW w:w="2031" w:type="dxa"/>
            <w:shd w:val="clear" w:color="auto" w:fill="D9D9D9" w:themeFill="background1" w:themeFillShade="D9"/>
            <w:vAlign w:val="center"/>
          </w:tcPr>
          <w:p w14:paraId="6E0219B2" w14:textId="77777777" w:rsidR="00046F06" w:rsidRPr="002F022E" w:rsidRDefault="00046F06" w:rsidP="00805046">
            <w:pPr>
              <w:jc w:val="center"/>
              <w:rPr>
                <w:b/>
                <w:bCs/>
              </w:rPr>
            </w:pPr>
            <w:r w:rsidRPr="002F022E">
              <w:rPr>
                <w:b/>
                <w:bCs/>
              </w:rPr>
              <w:t>Modified Date</w:t>
            </w:r>
          </w:p>
        </w:tc>
        <w:tc>
          <w:tcPr>
            <w:tcW w:w="2031" w:type="dxa"/>
            <w:shd w:val="clear" w:color="auto" w:fill="D9D9D9" w:themeFill="background1" w:themeFillShade="D9"/>
            <w:vAlign w:val="center"/>
          </w:tcPr>
          <w:p w14:paraId="61A0AE02" w14:textId="77777777" w:rsidR="00046F06" w:rsidRPr="002F022E" w:rsidRDefault="00046F06" w:rsidP="00805046">
            <w:pPr>
              <w:jc w:val="center"/>
              <w:rPr>
                <w:b/>
                <w:bCs/>
              </w:rPr>
            </w:pPr>
            <w:r w:rsidRPr="002F022E">
              <w:rPr>
                <w:b/>
                <w:bCs/>
              </w:rPr>
              <w:t>Approved Date</w:t>
            </w:r>
          </w:p>
        </w:tc>
        <w:tc>
          <w:tcPr>
            <w:tcW w:w="1787" w:type="dxa"/>
            <w:shd w:val="clear" w:color="auto" w:fill="D9D9D9" w:themeFill="background1" w:themeFillShade="D9"/>
            <w:vAlign w:val="center"/>
          </w:tcPr>
          <w:p w14:paraId="6C4075BD" w14:textId="77777777" w:rsidR="00046F06" w:rsidRPr="002F022E" w:rsidRDefault="00046F06" w:rsidP="00805046">
            <w:pPr>
              <w:jc w:val="center"/>
              <w:rPr>
                <w:b/>
                <w:bCs/>
              </w:rPr>
            </w:pPr>
            <w:r w:rsidRPr="002F022E">
              <w:rPr>
                <w:b/>
                <w:bCs/>
              </w:rPr>
              <w:t>Approved By</w:t>
            </w:r>
          </w:p>
        </w:tc>
        <w:tc>
          <w:tcPr>
            <w:tcW w:w="3275" w:type="dxa"/>
            <w:shd w:val="clear" w:color="auto" w:fill="D9D9D9" w:themeFill="background1" w:themeFillShade="D9"/>
            <w:vAlign w:val="center"/>
          </w:tcPr>
          <w:p w14:paraId="7FF1CCE4" w14:textId="77777777" w:rsidR="00046F06" w:rsidRPr="002F022E" w:rsidRDefault="00046F06" w:rsidP="00805046">
            <w:pPr>
              <w:jc w:val="center"/>
              <w:rPr>
                <w:b/>
                <w:bCs/>
              </w:rPr>
            </w:pPr>
            <w:r w:rsidRPr="002F022E">
              <w:rPr>
                <w:b/>
                <w:bCs/>
              </w:rPr>
              <w:t>Reason/Comments</w:t>
            </w:r>
          </w:p>
        </w:tc>
      </w:tr>
      <w:tr w:rsidR="00046F06" w14:paraId="4D268A45" w14:textId="77777777" w:rsidTr="00805046">
        <w:tc>
          <w:tcPr>
            <w:tcW w:w="1131" w:type="dxa"/>
          </w:tcPr>
          <w:p w14:paraId="27725661" w14:textId="77777777" w:rsidR="00046F06" w:rsidRDefault="00046F06" w:rsidP="00805046">
            <w:r>
              <w:t>1.0.0</w:t>
            </w:r>
          </w:p>
        </w:tc>
        <w:tc>
          <w:tcPr>
            <w:tcW w:w="2031" w:type="dxa"/>
          </w:tcPr>
          <w:p w14:paraId="686897C9" w14:textId="77777777" w:rsidR="00046F06" w:rsidRDefault="00046F06" w:rsidP="00805046">
            <w:r>
              <w:t>September, 2020</w:t>
            </w:r>
          </w:p>
        </w:tc>
        <w:tc>
          <w:tcPr>
            <w:tcW w:w="2031" w:type="dxa"/>
          </w:tcPr>
          <w:p w14:paraId="0F93DDFA" w14:textId="77777777" w:rsidR="00046F06" w:rsidRDefault="00046F06" w:rsidP="00805046">
            <w:r>
              <w:t>September, 2020</w:t>
            </w:r>
          </w:p>
        </w:tc>
        <w:tc>
          <w:tcPr>
            <w:tcW w:w="1787" w:type="dxa"/>
          </w:tcPr>
          <w:p w14:paraId="36B77F23" w14:textId="2DBDC66A" w:rsidR="00046F06" w:rsidRDefault="00046F06" w:rsidP="00805046"/>
        </w:tc>
        <w:tc>
          <w:tcPr>
            <w:tcW w:w="3275" w:type="dxa"/>
          </w:tcPr>
          <w:p w14:paraId="389527D9" w14:textId="77777777" w:rsidR="00046F06" w:rsidRDefault="00046F06" w:rsidP="00805046">
            <w:r>
              <w:t>Document Origination</w:t>
            </w:r>
          </w:p>
        </w:tc>
      </w:tr>
      <w:tr w:rsidR="00046F06" w14:paraId="73743B6D" w14:textId="77777777" w:rsidTr="00805046">
        <w:tc>
          <w:tcPr>
            <w:tcW w:w="1131" w:type="dxa"/>
          </w:tcPr>
          <w:p w14:paraId="5A935C1F" w14:textId="77777777" w:rsidR="00046F06" w:rsidRDefault="00046F06" w:rsidP="00805046"/>
        </w:tc>
        <w:tc>
          <w:tcPr>
            <w:tcW w:w="2031" w:type="dxa"/>
          </w:tcPr>
          <w:p w14:paraId="6241F00B" w14:textId="77777777" w:rsidR="00046F06" w:rsidRDefault="00046F06" w:rsidP="00805046"/>
        </w:tc>
        <w:tc>
          <w:tcPr>
            <w:tcW w:w="2031" w:type="dxa"/>
          </w:tcPr>
          <w:p w14:paraId="16A2CD96" w14:textId="77777777" w:rsidR="00046F06" w:rsidRDefault="00046F06" w:rsidP="00805046"/>
        </w:tc>
        <w:tc>
          <w:tcPr>
            <w:tcW w:w="1787" w:type="dxa"/>
          </w:tcPr>
          <w:p w14:paraId="7EB5A311" w14:textId="77777777" w:rsidR="00046F06" w:rsidRDefault="00046F06" w:rsidP="00805046"/>
        </w:tc>
        <w:tc>
          <w:tcPr>
            <w:tcW w:w="3275" w:type="dxa"/>
          </w:tcPr>
          <w:p w14:paraId="193DD07E" w14:textId="77777777" w:rsidR="00046F06" w:rsidRDefault="00046F06" w:rsidP="00805046"/>
        </w:tc>
      </w:tr>
      <w:tr w:rsidR="00046F06" w14:paraId="07EE87F5" w14:textId="77777777" w:rsidTr="00805046">
        <w:tc>
          <w:tcPr>
            <w:tcW w:w="1131" w:type="dxa"/>
          </w:tcPr>
          <w:p w14:paraId="4D18B3A4" w14:textId="77777777" w:rsidR="00046F06" w:rsidRDefault="00046F06" w:rsidP="00805046"/>
        </w:tc>
        <w:tc>
          <w:tcPr>
            <w:tcW w:w="2031" w:type="dxa"/>
          </w:tcPr>
          <w:p w14:paraId="47B07BE9" w14:textId="77777777" w:rsidR="00046F06" w:rsidRDefault="00046F06" w:rsidP="00805046"/>
        </w:tc>
        <w:tc>
          <w:tcPr>
            <w:tcW w:w="2031" w:type="dxa"/>
          </w:tcPr>
          <w:p w14:paraId="588E719C" w14:textId="77777777" w:rsidR="00046F06" w:rsidRDefault="00046F06" w:rsidP="00805046"/>
        </w:tc>
        <w:tc>
          <w:tcPr>
            <w:tcW w:w="1787" w:type="dxa"/>
          </w:tcPr>
          <w:p w14:paraId="6BA950F3" w14:textId="77777777" w:rsidR="00046F06" w:rsidRDefault="00046F06" w:rsidP="00805046"/>
        </w:tc>
        <w:tc>
          <w:tcPr>
            <w:tcW w:w="3275" w:type="dxa"/>
          </w:tcPr>
          <w:p w14:paraId="59936DF7" w14:textId="77777777" w:rsidR="00046F06" w:rsidRDefault="00046F06" w:rsidP="00805046"/>
        </w:tc>
      </w:tr>
    </w:tbl>
    <w:p w14:paraId="00000002" w14:textId="77777777" w:rsidR="00EB11DA" w:rsidRPr="00046F06" w:rsidRDefault="00EB11DA" w:rsidP="00046F06"/>
    <w:sectPr w:rsidR="00EB11DA" w:rsidRPr="00046F06">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BF418" w14:textId="77777777" w:rsidR="00367D06" w:rsidRDefault="00367D06">
      <w:pPr>
        <w:spacing w:after="0" w:line="240" w:lineRule="auto"/>
      </w:pPr>
      <w:r>
        <w:separator/>
      </w:r>
    </w:p>
  </w:endnote>
  <w:endnote w:type="continuationSeparator" w:id="0">
    <w:p w14:paraId="45C205FE" w14:textId="77777777" w:rsidR="00367D06" w:rsidRDefault="0036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ibre Baskervill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0" w:name="_heading=h.gjdgxs" w:colFirst="0" w:colLast="0"/>
    <w:bookmarkEnd w:id="0"/>
  </w:p>
  <w:p w14:paraId="00000006" w14:textId="77777777" w:rsidR="00EB11DA" w:rsidRDefault="00367D06">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C4096" w14:textId="77777777" w:rsidR="00367D06" w:rsidRDefault="00367D06">
      <w:pPr>
        <w:spacing w:after="0" w:line="240" w:lineRule="auto"/>
      </w:pPr>
      <w:r>
        <w:separator/>
      </w:r>
    </w:p>
  </w:footnote>
  <w:footnote w:type="continuationSeparator" w:id="0">
    <w:p w14:paraId="131E08DF" w14:textId="77777777" w:rsidR="00367D06" w:rsidRDefault="00367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367D06">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F70"/>
    <w:multiLevelType w:val="hybridMultilevel"/>
    <w:tmpl w:val="45C2845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34A1A"/>
    <w:multiLevelType w:val="hybridMultilevel"/>
    <w:tmpl w:val="DDFEE15C"/>
    <w:lvl w:ilvl="0" w:tplc="3E22F9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354D1E"/>
    <w:multiLevelType w:val="hybridMultilevel"/>
    <w:tmpl w:val="8536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300D8"/>
    <w:multiLevelType w:val="hybridMultilevel"/>
    <w:tmpl w:val="0FFEC6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D16027"/>
    <w:multiLevelType w:val="hybridMultilevel"/>
    <w:tmpl w:val="2BB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9B5149"/>
    <w:multiLevelType w:val="hybridMultilevel"/>
    <w:tmpl w:val="73B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8A969C9"/>
    <w:multiLevelType w:val="hybridMultilevel"/>
    <w:tmpl w:val="376E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B1883"/>
    <w:multiLevelType w:val="hybridMultilevel"/>
    <w:tmpl w:val="37D2C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05CD9"/>
    <w:multiLevelType w:val="hybridMultilevel"/>
    <w:tmpl w:val="73A02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5048C"/>
    <w:multiLevelType w:val="multilevel"/>
    <w:tmpl w:val="388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46B7C"/>
    <w:multiLevelType w:val="multilevel"/>
    <w:tmpl w:val="64B605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6" w15:restartNumberingAfterBreak="0">
    <w:nsid w:val="60242175"/>
    <w:multiLevelType w:val="hybridMultilevel"/>
    <w:tmpl w:val="8020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B80928"/>
    <w:multiLevelType w:val="hybridMultilevel"/>
    <w:tmpl w:val="907A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07851"/>
    <w:multiLevelType w:val="hybridMultilevel"/>
    <w:tmpl w:val="2470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ABF3935"/>
    <w:multiLevelType w:val="hybridMultilevel"/>
    <w:tmpl w:val="8358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2"/>
  </w:num>
  <w:num w:numId="4">
    <w:abstractNumId w:val="3"/>
  </w:num>
  <w:num w:numId="5">
    <w:abstractNumId w:val="6"/>
  </w:num>
  <w:num w:numId="6">
    <w:abstractNumId w:val="21"/>
  </w:num>
  <w:num w:numId="7">
    <w:abstractNumId w:val="33"/>
  </w:num>
  <w:num w:numId="8">
    <w:abstractNumId w:val="12"/>
  </w:num>
  <w:num w:numId="9">
    <w:abstractNumId w:val="31"/>
  </w:num>
  <w:num w:numId="10">
    <w:abstractNumId w:val="0"/>
  </w:num>
  <w:num w:numId="11">
    <w:abstractNumId w:val="27"/>
  </w:num>
  <w:num w:numId="12">
    <w:abstractNumId w:val="15"/>
  </w:num>
  <w:num w:numId="13">
    <w:abstractNumId w:val="35"/>
  </w:num>
  <w:num w:numId="14">
    <w:abstractNumId w:val="13"/>
  </w:num>
  <w:num w:numId="15">
    <w:abstractNumId w:val="32"/>
  </w:num>
  <w:num w:numId="16">
    <w:abstractNumId w:val="10"/>
  </w:num>
  <w:num w:numId="17">
    <w:abstractNumId w:val="11"/>
  </w:num>
  <w:num w:numId="18">
    <w:abstractNumId w:val="2"/>
  </w:num>
  <w:num w:numId="19">
    <w:abstractNumId w:val="28"/>
  </w:num>
  <w:num w:numId="20">
    <w:abstractNumId w:val="1"/>
  </w:num>
  <w:num w:numId="21">
    <w:abstractNumId w:val="9"/>
  </w:num>
  <w:num w:numId="22">
    <w:abstractNumId w:val="29"/>
  </w:num>
  <w:num w:numId="23">
    <w:abstractNumId w:val="5"/>
  </w:num>
  <w:num w:numId="24">
    <w:abstractNumId w:val="25"/>
  </w:num>
  <w:num w:numId="25">
    <w:abstractNumId w:val="30"/>
  </w:num>
  <w:num w:numId="26">
    <w:abstractNumId w:val="16"/>
  </w:num>
  <w:num w:numId="27">
    <w:abstractNumId w:val="34"/>
  </w:num>
  <w:num w:numId="28">
    <w:abstractNumId w:val="20"/>
  </w:num>
  <w:num w:numId="29">
    <w:abstractNumId w:val="7"/>
  </w:num>
  <w:num w:numId="30">
    <w:abstractNumId w:val="26"/>
  </w:num>
  <w:num w:numId="31">
    <w:abstractNumId w:val="23"/>
  </w:num>
  <w:num w:numId="32">
    <w:abstractNumId w:val="24"/>
  </w:num>
  <w:num w:numId="33">
    <w:abstractNumId w:val="17"/>
  </w:num>
  <w:num w:numId="34">
    <w:abstractNumId w:val="36"/>
  </w:num>
  <w:num w:numId="35">
    <w:abstractNumId w:val="18"/>
  </w:num>
  <w:num w:numId="36">
    <w:abstractNumId w:val="19"/>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46F06"/>
    <w:rsid w:val="000C2B76"/>
    <w:rsid w:val="001045D7"/>
    <w:rsid w:val="00130074"/>
    <w:rsid w:val="001706CE"/>
    <w:rsid w:val="00183119"/>
    <w:rsid w:val="00235991"/>
    <w:rsid w:val="002C4000"/>
    <w:rsid w:val="00304628"/>
    <w:rsid w:val="00367D06"/>
    <w:rsid w:val="003A20ED"/>
    <w:rsid w:val="004C4788"/>
    <w:rsid w:val="00536151"/>
    <w:rsid w:val="00566876"/>
    <w:rsid w:val="0070470D"/>
    <w:rsid w:val="00887F58"/>
    <w:rsid w:val="008A69B7"/>
    <w:rsid w:val="008F155A"/>
    <w:rsid w:val="00AC167C"/>
    <w:rsid w:val="00AE2C80"/>
    <w:rsid w:val="00B14E8B"/>
    <w:rsid w:val="00B5347F"/>
    <w:rsid w:val="00B57B40"/>
    <w:rsid w:val="00C046E8"/>
    <w:rsid w:val="00D25C01"/>
    <w:rsid w:val="00D7436A"/>
    <w:rsid w:val="00E44E7E"/>
    <w:rsid w:val="00E817F2"/>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3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rsid w:val="008A69B7"/>
    <w:pPr>
      <w:tabs>
        <w:tab w:val="left" w:pos="432"/>
      </w:tabs>
      <w:spacing w:after="0" w:line="240" w:lineRule="auto"/>
      <w:ind w:left="432"/>
    </w:pPr>
    <w:rPr>
      <w:rFonts w:ascii="Arial" w:eastAsia="Times New Roman" w:hAnsi="Arial" w:cs="Times New Roman"/>
      <w:sz w:val="20"/>
      <w:szCs w:val="24"/>
      <w:lang w:eastAsia="en-US" w:bidi="ar-SA"/>
    </w:rPr>
  </w:style>
  <w:style w:type="character" w:customStyle="1" w:styleId="NormalIndentChar">
    <w:name w:val="Normal Indent Char"/>
    <w:link w:val="NormalIndent"/>
    <w:rsid w:val="008A69B7"/>
    <w:rPr>
      <w:rFonts w:ascii="Arial" w:eastAsia="Times New Roman" w:hAnsi="Arial" w:cs="Times New Roman"/>
      <w:sz w:val="20"/>
      <w:szCs w:val="24"/>
      <w:lang w:eastAsia="en-US" w:bidi="ar-SA"/>
    </w:rPr>
  </w:style>
  <w:style w:type="character" w:customStyle="1" w:styleId="TitleChar">
    <w:name w:val="Title Char"/>
    <w:basedOn w:val="DefaultParagraphFont"/>
    <w:link w:val="Title"/>
    <w:rsid w:val="00887F58"/>
    <w:rPr>
      <w:b/>
      <w:sz w:val="72"/>
      <w:szCs w:val="72"/>
    </w:rPr>
  </w:style>
  <w:style w:type="paragraph" w:styleId="NoSpacing">
    <w:name w:val="No Spacing"/>
    <w:uiPriority w:val="1"/>
    <w:qFormat/>
    <w:rsid w:val="00304628"/>
    <w:pPr>
      <w:spacing w:after="0" w:line="240" w:lineRule="auto"/>
    </w:pPr>
    <w:rPr>
      <w:rFonts w:ascii="Times New Roman" w:eastAsiaTheme="minorHAnsi" w:hAnsi="Times New Roman" w:cstheme="minorBidi"/>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 Security Policy</dc:title>
  <dc:creator>Jeff</dc:creator>
  <cp:lastModifiedBy>David Veksler</cp:lastModifiedBy>
  <cp:revision>2</cp:revision>
  <dcterms:created xsi:type="dcterms:W3CDTF">2021-05-10T22:03:00Z</dcterms:created>
  <dcterms:modified xsi:type="dcterms:W3CDTF">2021-05-10T22:03:00Z</dcterms:modified>
</cp:coreProperties>
</file>