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EC3843" w14:textId="0AD9593C" w:rsidR="00046F06" w:rsidRDefault="001C7E36" w:rsidP="00046F06">
      <w:pPr>
        <w:pStyle w:val="Heading1"/>
      </w:pPr>
      <w:r>
        <w:t>Security Standard</w:t>
      </w:r>
      <w:r w:rsidR="008015D4">
        <w:t xml:space="preserve"> for </w:t>
      </w:r>
      <w:r w:rsidR="008015D4" w:rsidRPr="00046F06">
        <w:t>Third-Party Risk</w:t>
      </w:r>
      <w:r w:rsidR="008015D4">
        <w:t xml:space="preserve"> Assessment</w:t>
      </w:r>
    </w:p>
    <w:p w14:paraId="653D2F93" w14:textId="1A00C758" w:rsidR="00046F06" w:rsidRPr="00417B1D" w:rsidRDefault="00046F06" w:rsidP="00046F06">
      <w:pPr>
        <w:pStyle w:val="Heading1"/>
      </w:pPr>
      <w:r>
        <w:t>Purpose</w:t>
      </w:r>
    </w:p>
    <w:p w14:paraId="77571030" w14:textId="4FA94623" w:rsidR="00046F06" w:rsidRDefault="00046F06" w:rsidP="00046F06">
      <w:r>
        <w:t>[Company Name] utilizes third-party products and services to support our mission and goals. Third-party relationships carry inherent and residual risks that must be considered as part of our due care and diligence. The Third-Party Information Security Risk Management Policy contains the requirements for how [Company Name] will conduct our third-party information security due diligence.</w:t>
      </w:r>
    </w:p>
    <w:p w14:paraId="6214EFF4" w14:textId="77777777" w:rsidR="00046F06" w:rsidRDefault="00046F06" w:rsidP="00046F06">
      <w:pPr>
        <w:pStyle w:val="Heading1"/>
      </w:pPr>
      <w:r>
        <w:t>Audience</w:t>
      </w:r>
    </w:p>
    <w:p w14:paraId="584660D8" w14:textId="5DC3F3CD" w:rsidR="00046F06" w:rsidRDefault="00046F06" w:rsidP="00046F06">
      <w:r>
        <w:t>This policy applies to all individuals who engage with a third-party on behalf of [Company Name].</w:t>
      </w:r>
    </w:p>
    <w:p w14:paraId="696E378E" w14:textId="77777777" w:rsidR="00046F06" w:rsidRDefault="00046F06" w:rsidP="00046F06">
      <w:pPr>
        <w:pStyle w:val="Heading1"/>
      </w:pPr>
      <w:r>
        <w:t>Policy</w:t>
      </w:r>
    </w:p>
    <w:p w14:paraId="658A5093" w14:textId="28CF2315" w:rsidR="006C23A4" w:rsidRDefault="006C23A4" w:rsidP="006C23A4">
      <w:r>
        <w:t xml:space="preserve">Departments should use the Information Security Third-Party </w:t>
      </w:r>
      <w:r w:rsidR="00711388">
        <w:t>standards</w:t>
      </w:r>
      <w:r>
        <w:t xml:space="preserve"> to assess all third-party IT service arrangements</w:t>
      </w:r>
      <w:proofErr w:type="gramStart"/>
      <w:r>
        <w:t xml:space="preserve">.  </w:t>
      </w:r>
      <w:proofErr w:type="gramEnd"/>
      <w:r>
        <w:t xml:space="preserve">Examples include: </w:t>
      </w:r>
    </w:p>
    <w:p w14:paraId="0641FFA2" w14:textId="77777777" w:rsidR="006C23A4" w:rsidRDefault="006C23A4" w:rsidP="006C23A4">
      <w:pPr>
        <w:spacing w:after="0" w:line="259" w:lineRule="auto"/>
        <w:ind w:left="2160"/>
      </w:pPr>
      <w:r>
        <w:t xml:space="preserve"> </w:t>
      </w:r>
    </w:p>
    <w:p w14:paraId="2CF8905E" w14:textId="77777777" w:rsidR="006C23A4" w:rsidRDefault="006C23A4" w:rsidP="006C23A4">
      <w:pPr>
        <w:numPr>
          <w:ilvl w:val="0"/>
          <w:numId w:val="38"/>
        </w:numPr>
        <w:spacing w:after="13" w:line="249" w:lineRule="auto"/>
        <w:ind w:hanging="360"/>
      </w:pPr>
      <w:r>
        <w:t xml:space="preserve">Web hosting </w:t>
      </w:r>
    </w:p>
    <w:p w14:paraId="56C7278F" w14:textId="77777777" w:rsidR="006C23A4" w:rsidRDefault="006C23A4" w:rsidP="006C23A4">
      <w:pPr>
        <w:numPr>
          <w:ilvl w:val="0"/>
          <w:numId w:val="38"/>
        </w:numPr>
        <w:spacing w:after="13" w:line="249" w:lineRule="auto"/>
        <w:ind w:hanging="360"/>
      </w:pPr>
      <w:r>
        <w:t xml:space="preserve">Application Development </w:t>
      </w:r>
    </w:p>
    <w:p w14:paraId="314588BE" w14:textId="77777777" w:rsidR="006C23A4" w:rsidRDefault="006C23A4" w:rsidP="006C23A4">
      <w:pPr>
        <w:numPr>
          <w:ilvl w:val="0"/>
          <w:numId w:val="38"/>
        </w:numPr>
        <w:spacing w:after="13" w:line="249" w:lineRule="auto"/>
        <w:ind w:hanging="360"/>
      </w:pPr>
      <w:r>
        <w:t xml:space="preserve">Database Management </w:t>
      </w:r>
    </w:p>
    <w:p w14:paraId="539BBB29" w14:textId="77777777" w:rsidR="006C23A4" w:rsidRDefault="006C23A4" w:rsidP="006C23A4">
      <w:pPr>
        <w:numPr>
          <w:ilvl w:val="0"/>
          <w:numId w:val="38"/>
        </w:numPr>
        <w:spacing w:after="13" w:line="249" w:lineRule="auto"/>
        <w:ind w:hanging="360"/>
      </w:pPr>
      <w:r>
        <w:t xml:space="preserve">Network Monitoring </w:t>
      </w:r>
    </w:p>
    <w:p w14:paraId="18680171" w14:textId="77777777" w:rsidR="006C23A4" w:rsidRDefault="006C23A4" w:rsidP="006C23A4">
      <w:pPr>
        <w:numPr>
          <w:ilvl w:val="0"/>
          <w:numId w:val="38"/>
        </w:numPr>
        <w:spacing w:after="13" w:line="249" w:lineRule="auto"/>
        <w:ind w:hanging="360"/>
      </w:pPr>
      <w:r>
        <w:t xml:space="preserve">Web content development </w:t>
      </w:r>
    </w:p>
    <w:p w14:paraId="690C14F4" w14:textId="77777777" w:rsidR="006C23A4" w:rsidRDefault="006C23A4" w:rsidP="006C23A4">
      <w:pPr>
        <w:numPr>
          <w:ilvl w:val="0"/>
          <w:numId w:val="38"/>
        </w:numPr>
        <w:spacing w:after="13" w:line="249" w:lineRule="auto"/>
        <w:ind w:hanging="360"/>
      </w:pPr>
      <w:r>
        <w:t xml:space="preserve">Data Backup </w:t>
      </w:r>
    </w:p>
    <w:p w14:paraId="0F8CCABB" w14:textId="77777777" w:rsidR="006C23A4" w:rsidRDefault="006C23A4" w:rsidP="006C23A4">
      <w:pPr>
        <w:numPr>
          <w:ilvl w:val="0"/>
          <w:numId w:val="38"/>
        </w:numPr>
        <w:spacing w:after="13" w:line="249" w:lineRule="auto"/>
        <w:ind w:hanging="360"/>
      </w:pPr>
      <w:r>
        <w:t xml:space="preserve">System Maintenance </w:t>
      </w:r>
    </w:p>
    <w:p w14:paraId="274A259A" w14:textId="77777777" w:rsidR="006C23A4" w:rsidRDefault="006C23A4" w:rsidP="006C23A4">
      <w:pPr>
        <w:numPr>
          <w:ilvl w:val="0"/>
          <w:numId w:val="38"/>
        </w:numPr>
        <w:spacing w:after="13" w:line="249" w:lineRule="auto"/>
        <w:ind w:hanging="360"/>
      </w:pPr>
      <w:r>
        <w:t xml:space="preserve">Offsite Storage </w:t>
      </w:r>
    </w:p>
    <w:p w14:paraId="62914B3A" w14:textId="77777777" w:rsidR="006C23A4" w:rsidRDefault="006C23A4" w:rsidP="006C23A4">
      <w:pPr>
        <w:spacing w:after="0" w:line="259" w:lineRule="auto"/>
        <w:ind w:left="2520"/>
      </w:pPr>
      <w:r>
        <w:t xml:space="preserve"> </w:t>
      </w:r>
    </w:p>
    <w:p w14:paraId="7AFFD871" w14:textId="5189C4AC" w:rsidR="006C23A4" w:rsidRDefault="006C23A4" w:rsidP="006C23A4">
      <w:r>
        <w:t>Again, the process is recommended for all third-party IT service relationships; however, the process is mandatory where Confidential/High Risk data is accessed remotely, transmitted, or stored offsite</w:t>
      </w:r>
      <w:proofErr w:type="gramStart"/>
      <w:r>
        <w:t xml:space="preserve">.  </w:t>
      </w:r>
      <w:proofErr w:type="gramEnd"/>
      <w:r>
        <w:t xml:space="preserve"> In these instances, the Information Security Third-Party Assessment Survey must </w:t>
      </w:r>
      <w:proofErr w:type="gramStart"/>
      <w:r>
        <w:t>be reviewed</w:t>
      </w:r>
      <w:proofErr w:type="gramEnd"/>
      <w:r>
        <w:t xml:space="preserve"> by the Information Security</w:t>
      </w:r>
      <w:r>
        <w:t xml:space="preserve"> Team</w:t>
      </w:r>
      <w:r>
        <w:t>.</w:t>
      </w:r>
    </w:p>
    <w:p w14:paraId="2D4AEE1A" w14:textId="2E9D1956" w:rsidR="006C23A4" w:rsidRDefault="006C23A4" w:rsidP="006C23A4"/>
    <w:p w14:paraId="5BE1D36E" w14:textId="5C7C22AE" w:rsidR="006C23A4" w:rsidRDefault="006C23A4" w:rsidP="006C23A4">
      <w:pPr>
        <w:pStyle w:val="Heading1"/>
      </w:pPr>
      <w:r>
        <w:lastRenderedPageBreak/>
        <w:t>Procedure</w:t>
      </w:r>
    </w:p>
    <w:p w14:paraId="49251096" w14:textId="5D3FA959" w:rsidR="006C23A4" w:rsidRDefault="006C23A4" w:rsidP="006C23A4">
      <w:r>
        <w:t>The following domains shall be reviewed as a part of [Company Name]'s third party information security assessment process:</w:t>
      </w:r>
    </w:p>
    <w:p w14:paraId="6D8B6E70" w14:textId="25E6D8E2" w:rsidR="006C23A4" w:rsidRDefault="006C23A4" w:rsidP="008015D4">
      <w:pPr>
        <w:pStyle w:val="Heading3"/>
      </w:pPr>
      <w:r>
        <w:t>Governance, Risk and Compliance</w:t>
      </w:r>
    </w:p>
    <w:p w14:paraId="241B1D10" w14:textId="061A69A6" w:rsidR="006C23A4" w:rsidRPr="006C23A4" w:rsidRDefault="006C23A4" w:rsidP="006C23A4">
      <w:pPr>
        <w:rPr>
          <w:b/>
          <w:bCs/>
        </w:rPr>
      </w:pPr>
      <w:r>
        <w:t>Third party vendors shall comply with [Company Name]’s Third-Party Information Security Risk Management Policy</w:t>
      </w:r>
    </w:p>
    <w:p w14:paraId="1918A019" w14:textId="2A8EBD3B" w:rsidR="006C23A4" w:rsidRDefault="006C23A4" w:rsidP="008015D4">
      <w:pPr>
        <w:pStyle w:val="Heading3"/>
      </w:pPr>
      <w:r>
        <w:t>Human Resources Management</w:t>
      </w:r>
    </w:p>
    <w:p w14:paraId="67A2C3B1" w14:textId="3E2FA6F2" w:rsidR="00E11994" w:rsidRPr="008015D4" w:rsidRDefault="00D13EF1" w:rsidP="006C23A4">
      <w:pPr>
        <w:rPr>
          <w:b/>
          <w:bCs/>
        </w:rPr>
      </w:pPr>
      <w:r>
        <w:t>Third party vendors shall comply with [Company Name]’s Identity and Access Management Policy</w:t>
      </w:r>
    </w:p>
    <w:p w14:paraId="60C297A7" w14:textId="2D0D5098" w:rsidR="006C23A4" w:rsidRDefault="006C23A4" w:rsidP="008015D4">
      <w:pPr>
        <w:pStyle w:val="Heading3"/>
      </w:pPr>
      <w:r>
        <w:t>Incident Management</w:t>
      </w:r>
    </w:p>
    <w:p w14:paraId="72D9B3E7" w14:textId="22746F35" w:rsidR="00E11994" w:rsidRPr="008015D4" w:rsidRDefault="00D13EF1" w:rsidP="00E11994">
      <w:pPr>
        <w:rPr>
          <w:b/>
          <w:bCs/>
        </w:rPr>
      </w:pPr>
      <w:r>
        <w:t>Third party vendors shall comply with [Company Name]’s Incident Management Policy</w:t>
      </w:r>
    </w:p>
    <w:p w14:paraId="2440C0D4" w14:textId="0C416130" w:rsidR="006C23A4" w:rsidRDefault="006C23A4" w:rsidP="008015D4">
      <w:pPr>
        <w:pStyle w:val="Heading3"/>
      </w:pPr>
      <w:r>
        <w:t>Third Party Management</w:t>
      </w:r>
    </w:p>
    <w:p w14:paraId="433A2CDA" w14:textId="2C17C754" w:rsidR="00E11994" w:rsidRPr="008015D4" w:rsidRDefault="008015D4" w:rsidP="00E11994">
      <w:r w:rsidRPr="008015D4">
        <w:t>Third party vendors shall</w:t>
      </w:r>
      <w:r w:rsidRPr="008015D4">
        <w:t xml:space="preserve"> require any </w:t>
      </w:r>
      <w:proofErr w:type="gramStart"/>
      <w:r w:rsidRPr="008015D4">
        <w:t>third party</w:t>
      </w:r>
      <w:proofErr w:type="gramEnd"/>
      <w:r w:rsidRPr="008015D4">
        <w:t xml:space="preserve"> subcontractors or vendors to comply with the standards outlined in this policy.</w:t>
      </w:r>
    </w:p>
    <w:p w14:paraId="633252B7" w14:textId="6648A57F" w:rsidR="006C23A4" w:rsidRDefault="006C23A4" w:rsidP="008015D4">
      <w:pPr>
        <w:pStyle w:val="Heading3"/>
      </w:pPr>
      <w:r>
        <w:t>Access Management</w:t>
      </w:r>
    </w:p>
    <w:p w14:paraId="0C01E3EA" w14:textId="5A7203A9" w:rsidR="00E11994" w:rsidRPr="008015D4" w:rsidRDefault="00D13EF1" w:rsidP="00E11994">
      <w:pPr>
        <w:rPr>
          <w:b/>
          <w:bCs/>
        </w:rPr>
      </w:pPr>
      <w:r>
        <w:t>Third party vendors shall comply with [Company Name]’s Identity and Access Management Policy</w:t>
      </w:r>
    </w:p>
    <w:p w14:paraId="1C9C1E2F" w14:textId="0AA58931" w:rsidR="006C23A4" w:rsidRDefault="006C23A4" w:rsidP="008015D4">
      <w:pPr>
        <w:pStyle w:val="Heading3"/>
      </w:pPr>
      <w:r>
        <w:t>Password Security</w:t>
      </w:r>
    </w:p>
    <w:p w14:paraId="0B8CC2F1" w14:textId="0F54E3DC" w:rsidR="00E11994" w:rsidRPr="008015D4" w:rsidRDefault="00D13EF1" w:rsidP="00E11994">
      <w:pPr>
        <w:rPr>
          <w:b/>
          <w:bCs/>
        </w:rPr>
      </w:pPr>
      <w:r>
        <w:t>Third party vendors shall comply with [Company Name]’s Password Protection Policy</w:t>
      </w:r>
    </w:p>
    <w:p w14:paraId="2C3EB38A" w14:textId="018097CD" w:rsidR="006C23A4" w:rsidRPr="008015D4" w:rsidRDefault="006C23A4" w:rsidP="008015D4">
      <w:pPr>
        <w:pStyle w:val="Heading3"/>
        <w:rPr>
          <w:bCs/>
        </w:rPr>
      </w:pPr>
      <w:r w:rsidRPr="008015D4">
        <w:rPr>
          <w:bCs/>
        </w:rPr>
        <w:t>Remote Access</w:t>
      </w:r>
    </w:p>
    <w:p w14:paraId="3D4C4F57" w14:textId="561B802A" w:rsidR="00E11994" w:rsidRPr="008015D4" w:rsidRDefault="00D13EF1" w:rsidP="00E11994">
      <w:pPr>
        <w:rPr>
          <w:b/>
          <w:bCs/>
        </w:rPr>
      </w:pPr>
      <w:r>
        <w:t>Third party vendors shall comply with [Company Name]’s Remote Access Policy</w:t>
      </w:r>
    </w:p>
    <w:p w14:paraId="7C7A6D07" w14:textId="682B6FD6" w:rsidR="006C23A4" w:rsidRPr="008015D4" w:rsidRDefault="006C23A4" w:rsidP="008015D4">
      <w:pPr>
        <w:pStyle w:val="Heading3"/>
        <w:rPr>
          <w:bCs/>
        </w:rPr>
      </w:pPr>
      <w:r w:rsidRPr="008015D4">
        <w:rPr>
          <w:bCs/>
        </w:rPr>
        <w:t>Network Security</w:t>
      </w:r>
    </w:p>
    <w:p w14:paraId="656E4998" w14:textId="311367D5" w:rsidR="00E11994" w:rsidRPr="008015D4" w:rsidRDefault="00D13EF1" w:rsidP="00E11994">
      <w:pPr>
        <w:rPr>
          <w:b/>
          <w:bCs/>
        </w:rPr>
      </w:pPr>
      <w:r>
        <w:t>Third party vendors shall comply with [Company Name]’s Network Security Policy</w:t>
      </w:r>
    </w:p>
    <w:p w14:paraId="7FB592B6" w14:textId="0486E34F" w:rsidR="006C23A4" w:rsidRDefault="006C23A4" w:rsidP="008015D4">
      <w:pPr>
        <w:pStyle w:val="Heading3"/>
      </w:pPr>
      <w:r>
        <w:t>Threat/Vulnerability Management</w:t>
      </w:r>
    </w:p>
    <w:p w14:paraId="45CB0A3E" w14:textId="5417236E" w:rsidR="00E11994" w:rsidRDefault="00D13EF1" w:rsidP="00E11994">
      <w:r>
        <w:t>Third party vendors shall comply with [Company Name]’s Data Breach Response Policy</w:t>
      </w:r>
    </w:p>
    <w:p w14:paraId="73CA42FB" w14:textId="1322FAC6" w:rsidR="006C23A4" w:rsidRDefault="006C23A4" w:rsidP="008015D4">
      <w:pPr>
        <w:pStyle w:val="Heading3"/>
      </w:pPr>
      <w:r>
        <w:t>Change Management/Software Development</w:t>
      </w:r>
    </w:p>
    <w:p w14:paraId="3FFB2DBC" w14:textId="7F8E93D4" w:rsidR="00E11994" w:rsidRDefault="00E11994" w:rsidP="00E11994"/>
    <w:p w14:paraId="1BCA39B5" w14:textId="068730C1" w:rsidR="00E11994" w:rsidRPr="008015D4" w:rsidRDefault="00D13EF1" w:rsidP="00E11994">
      <w:pPr>
        <w:rPr>
          <w:b/>
          <w:bCs/>
        </w:rPr>
      </w:pPr>
      <w:r>
        <w:t>Third party vendors shall comply with [Company Name]’s Change Control Policy</w:t>
      </w:r>
    </w:p>
    <w:p w14:paraId="3178828F" w14:textId="3790AF0A" w:rsidR="006C23A4" w:rsidRDefault="006C23A4" w:rsidP="008015D4">
      <w:pPr>
        <w:pStyle w:val="Heading3"/>
      </w:pPr>
      <w:r>
        <w:t>Asset Management</w:t>
      </w:r>
    </w:p>
    <w:p w14:paraId="4497E760" w14:textId="6445F2FA" w:rsidR="00E11994" w:rsidRPr="008015D4" w:rsidRDefault="00D13EF1" w:rsidP="00E11994">
      <w:pPr>
        <w:rPr>
          <w:b/>
          <w:bCs/>
        </w:rPr>
      </w:pPr>
      <w:r>
        <w:t>Third party vendors shall comply with [Company Name]’s Asset Management Policy</w:t>
      </w:r>
    </w:p>
    <w:p w14:paraId="773566A9" w14:textId="7F630D0C" w:rsidR="006C23A4" w:rsidRDefault="006C23A4" w:rsidP="008015D4">
      <w:pPr>
        <w:pStyle w:val="Heading3"/>
      </w:pPr>
      <w:r>
        <w:t>Data Handling/Disposal</w:t>
      </w:r>
    </w:p>
    <w:p w14:paraId="09B5FB90" w14:textId="2746A3AE" w:rsidR="00E11994" w:rsidRPr="008015D4" w:rsidRDefault="00D13EF1" w:rsidP="00E11994">
      <w:pPr>
        <w:rPr>
          <w:b/>
          <w:bCs/>
        </w:rPr>
      </w:pPr>
      <w:r>
        <w:t>Third party vendors shall comply with [Company Name]’s Data Classification and Management Policy and Data Destruction and Sanitization Policy</w:t>
      </w:r>
    </w:p>
    <w:p w14:paraId="56B062DF" w14:textId="106EC118" w:rsidR="006C23A4" w:rsidRDefault="006C23A4" w:rsidP="008015D4">
      <w:pPr>
        <w:pStyle w:val="Heading3"/>
      </w:pPr>
      <w:r>
        <w:t>Physical Security</w:t>
      </w:r>
    </w:p>
    <w:p w14:paraId="4902A5AE" w14:textId="34FBD425" w:rsidR="006C23A4" w:rsidRPr="008015D4" w:rsidRDefault="008015D4" w:rsidP="008015D4">
      <w:pPr>
        <w:rPr>
          <w:b/>
          <w:bCs/>
        </w:rPr>
      </w:pPr>
      <w:r>
        <w:t>Third party vendors shall comply with [Company Name]’s Physical Security Policy and Technology Equipment Disposal Policy</w:t>
      </w:r>
    </w:p>
    <w:p w14:paraId="1FC67D42" w14:textId="77777777" w:rsidR="00046F06" w:rsidRDefault="00046F06" w:rsidP="00046F06">
      <w:pPr>
        <w:pStyle w:val="Heading1"/>
      </w:pPr>
      <w:r>
        <w:t>Waivers</w:t>
      </w:r>
    </w:p>
    <w:p w14:paraId="1CC02279" w14:textId="60CEFE07" w:rsidR="00046F06" w:rsidRDefault="00046F06" w:rsidP="00046F06">
      <w:r>
        <w:t>Waivers from certain and specific policy provisions may be sought following the [Company Name] Waiver Process. There are no exceptions to any provisions noted in this policy until and unless a waiver has been granted.</w:t>
      </w:r>
    </w:p>
    <w:p w14:paraId="11F7391A" w14:textId="77777777" w:rsidR="00046F06" w:rsidRDefault="00046F06" w:rsidP="00046F06">
      <w:pPr>
        <w:pStyle w:val="Heading1"/>
      </w:pPr>
      <w:r>
        <w:t>Enforcement</w:t>
      </w:r>
    </w:p>
    <w:p w14:paraId="54565650" w14:textId="537FE8D0" w:rsidR="00046F06" w:rsidRDefault="00046F06" w:rsidP="00046F06">
      <w:r>
        <w:t>This Third-Party Information Security Risk Management Policy supplements and compliments all other related information security policies, it does not supersede any such policy or vice versa. Where there are any perceived or unintended conflicts between [Company Name] policies, they must be brought to the attention of [Company Name] for immediate reconciliation.</w:t>
      </w:r>
    </w:p>
    <w:p w14:paraId="0F3A19ED" w14:textId="77777777" w:rsidR="00046F06" w:rsidRDefault="00046F06" w:rsidP="00046F06">
      <w:r>
        <w:t>Personnel found to have violated any provision of this policy may be subject to sanctions up to and including removal of access rights, termination of employment, termination of contract(s), and/or related civil or criminal penalties.</w:t>
      </w:r>
    </w:p>
    <w:p w14:paraId="43014AED" w14:textId="77777777" w:rsidR="00046F06" w:rsidRDefault="00046F06" w:rsidP="00046F06">
      <w:pPr>
        <w:pStyle w:val="Heading1"/>
      </w:pPr>
      <w:r>
        <w:t>Version History</w:t>
      </w:r>
    </w:p>
    <w:tbl>
      <w:tblPr>
        <w:tblStyle w:val="TableGrid"/>
        <w:tblW w:w="10255" w:type="dxa"/>
        <w:tblLook w:val="04A0" w:firstRow="1" w:lastRow="0" w:firstColumn="1" w:lastColumn="0" w:noHBand="0" w:noVBand="1"/>
      </w:tblPr>
      <w:tblGrid>
        <w:gridCol w:w="1131"/>
        <w:gridCol w:w="2031"/>
        <w:gridCol w:w="2031"/>
        <w:gridCol w:w="1787"/>
        <w:gridCol w:w="3275"/>
      </w:tblGrid>
      <w:tr w:rsidR="00046F06" w:rsidRPr="002F022E" w14:paraId="7A4E4322" w14:textId="77777777" w:rsidTr="00805046">
        <w:trPr>
          <w:trHeight w:hRule="exact" w:val="432"/>
        </w:trPr>
        <w:tc>
          <w:tcPr>
            <w:tcW w:w="1131" w:type="dxa"/>
            <w:shd w:val="clear" w:color="auto" w:fill="D9D9D9" w:themeFill="background1" w:themeFillShade="D9"/>
            <w:vAlign w:val="center"/>
          </w:tcPr>
          <w:p w14:paraId="23A437EC" w14:textId="77777777" w:rsidR="00046F06" w:rsidRPr="002F022E" w:rsidRDefault="00046F06" w:rsidP="00805046">
            <w:pPr>
              <w:jc w:val="center"/>
              <w:rPr>
                <w:b/>
                <w:bCs/>
              </w:rPr>
            </w:pPr>
            <w:r w:rsidRPr="002F022E">
              <w:rPr>
                <w:b/>
                <w:bCs/>
              </w:rPr>
              <w:t>Version</w:t>
            </w:r>
          </w:p>
        </w:tc>
        <w:tc>
          <w:tcPr>
            <w:tcW w:w="2031" w:type="dxa"/>
            <w:shd w:val="clear" w:color="auto" w:fill="D9D9D9" w:themeFill="background1" w:themeFillShade="D9"/>
            <w:vAlign w:val="center"/>
          </w:tcPr>
          <w:p w14:paraId="6E0219B2" w14:textId="77777777" w:rsidR="00046F06" w:rsidRPr="002F022E" w:rsidRDefault="00046F06" w:rsidP="00805046">
            <w:pPr>
              <w:jc w:val="center"/>
              <w:rPr>
                <w:b/>
                <w:bCs/>
              </w:rPr>
            </w:pPr>
            <w:r w:rsidRPr="002F022E">
              <w:rPr>
                <w:b/>
                <w:bCs/>
              </w:rPr>
              <w:t>Modified Date</w:t>
            </w:r>
          </w:p>
        </w:tc>
        <w:tc>
          <w:tcPr>
            <w:tcW w:w="2031" w:type="dxa"/>
            <w:shd w:val="clear" w:color="auto" w:fill="D9D9D9" w:themeFill="background1" w:themeFillShade="D9"/>
            <w:vAlign w:val="center"/>
          </w:tcPr>
          <w:p w14:paraId="61A0AE02" w14:textId="77777777" w:rsidR="00046F06" w:rsidRPr="002F022E" w:rsidRDefault="00046F06" w:rsidP="00805046">
            <w:pPr>
              <w:jc w:val="center"/>
              <w:rPr>
                <w:b/>
                <w:bCs/>
              </w:rPr>
            </w:pPr>
            <w:r w:rsidRPr="002F022E">
              <w:rPr>
                <w:b/>
                <w:bCs/>
              </w:rPr>
              <w:t>Approved Date</w:t>
            </w:r>
          </w:p>
        </w:tc>
        <w:tc>
          <w:tcPr>
            <w:tcW w:w="1787" w:type="dxa"/>
            <w:shd w:val="clear" w:color="auto" w:fill="D9D9D9" w:themeFill="background1" w:themeFillShade="D9"/>
            <w:vAlign w:val="center"/>
          </w:tcPr>
          <w:p w14:paraId="6C4075BD" w14:textId="77777777" w:rsidR="00046F06" w:rsidRPr="002F022E" w:rsidRDefault="00046F06" w:rsidP="00805046">
            <w:pPr>
              <w:jc w:val="center"/>
              <w:rPr>
                <w:b/>
                <w:bCs/>
              </w:rPr>
            </w:pPr>
            <w:r w:rsidRPr="002F022E">
              <w:rPr>
                <w:b/>
                <w:bCs/>
              </w:rPr>
              <w:t>Approved By</w:t>
            </w:r>
          </w:p>
        </w:tc>
        <w:tc>
          <w:tcPr>
            <w:tcW w:w="3275" w:type="dxa"/>
            <w:shd w:val="clear" w:color="auto" w:fill="D9D9D9" w:themeFill="background1" w:themeFillShade="D9"/>
            <w:vAlign w:val="center"/>
          </w:tcPr>
          <w:p w14:paraId="7FF1CCE4" w14:textId="77777777" w:rsidR="00046F06" w:rsidRPr="002F022E" w:rsidRDefault="00046F06" w:rsidP="00805046">
            <w:pPr>
              <w:jc w:val="center"/>
              <w:rPr>
                <w:b/>
                <w:bCs/>
              </w:rPr>
            </w:pPr>
            <w:r w:rsidRPr="002F022E">
              <w:rPr>
                <w:b/>
                <w:bCs/>
              </w:rPr>
              <w:t>Reason/Comments</w:t>
            </w:r>
          </w:p>
        </w:tc>
      </w:tr>
      <w:tr w:rsidR="00046F06" w14:paraId="4D268A45" w14:textId="77777777" w:rsidTr="00805046">
        <w:tc>
          <w:tcPr>
            <w:tcW w:w="1131" w:type="dxa"/>
          </w:tcPr>
          <w:p w14:paraId="27725661" w14:textId="77777777" w:rsidR="00046F06" w:rsidRDefault="00046F06" w:rsidP="00805046">
            <w:r>
              <w:t>1.0.0</w:t>
            </w:r>
          </w:p>
        </w:tc>
        <w:tc>
          <w:tcPr>
            <w:tcW w:w="2031" w:type="dxa"/>
          </w:tcPr>
          <w:p w14:paraId="686897C9" w14:textId="77777777" w:rsidR="00046F06" w:rsidRDefault="00046F06" w:rsidP="00805046">
            <w:r>
              <w:t>September, 2020</w:t>
            </w:r>
          </w:p>
        </w:tc>
        <w:tc>
          <w:tcPr>
            <w:tcW w:w="2031" w:type="dxa"/>
          </w:tcPr>
          <w:p w14:paraId="0F93DDFA" w14:textId="77777777" w:rsidR="00046F06" w:rsidRDefault="00046F06" w:rsidP="00805046">
            <w:r>
              <w:t>September, 2020</w:t>
            </w:r>
          </w:p>
        </w:tc>
        <w:tc>
          <w:tcPr>
            <w:tcW w:w="1787" w:type="dxa"/>
          </w:tcPr>
          <w:p w14:paraId="36B77F23" w14:textId="2DBDC66A" w:rsidR="00046F06" w:rsidRDefault="00046F06" w:rsidP="00805046"/>
        </w:tc>
        <w:tc>
          <w:tcPr>
            <w:tcW w:w="3275" w:type="dxa"/>
          </w:tcPr>
          <w:p w14:paraId="389527D9" w14:textId="77777777" w:rsidR="00046F06" w:rsidRDefault="00046F06" w:rsidP="00805046">
            <w:r>
              <w:t>Document Origination</w:t>
            </w:r>
          </w:p>
        </w:tc>
      </w:tr>
      <w:tr w:rsidR="00046F06" w14:paraId="73743B6D" w14:textId="77777777" w:rsidTr="00805046">
        <w:tc>
          <w:tcPr>
            <w:tcW w:w="1131" w:type="dxa"/>
          </w:tcPr>
          <w:p w14:paraId="5A935C1F" w14:textId="77777777" w:rsidR="00046F06" w:rsidRDefault="00046F06" w:rsidP="00805046"/>
        </w:tc>
        <w:tc>
          <w:tcPr>
            <w:tcW w:w="2031" w:type="dxa"/>
          </w:tcPr>
          <w:p w14:paraId="6241F00B" w14:textId="77777777" w:rsidR="00046F06" w:rsidRDefault="00046F06" w:rsidP="00805046"/>
        </w:tc>
        <w:tc>
          <w:tcPr>
            <w:tcW w:w="2031" w:type="dxa"/>
          </w:tcPr>
          <w:p w14:paraId="16A2CD96" w14:textId="77777777" w:rsidR="00046F06" w:rsidRDefault="00046F06" w:rsidP="00805046"/>
        </w:tc>
        <w:tc>
          <w:tcPr>
            <w:tcW w:w="1787" w:type="dxa"/>
          </w:tcPr>
          <w:p w14:paraId="7EB5A311" w14:textId="77777777" w:rsidR="00046F06" w:rsidRDefault="00046F06" w:rsidP="00805046"/>
        </w:tc>
        <w:tc>
          <w:tcPr>
            <w:tcW w:w="3275" w:type="dxa"/>
          </w:tcPr>
          <w:p w14:paraId="193DD07E" w14:textId="77777777" w:rsidR="00046F06" w:rsidRDefault="00046F06" w:rsidP="00805046"/>
        </w:tc>
      </w:tr>
      <w:tr w:rsidR="00046F06" w14:paraId="07EE87F5" w14:textId="77777777" w:rsidTr="00805046">
        <w:tc>
          <w:tcPr>
            <w:tcW w:w="1131" w:type="dxa"/>
          </w:tcPr>
          <w:p w14:paraId="4D18B3A4" w14:textId="77777777" w:rsidR="00046F06" w:rsidRDefault="00046F06" w:rsidP="00805046"/>
        </w:tc>
        <w:tc>
          <w:tcPr>
            <w:tcW w:w="2031" w:type="dxa"/>
          </w:tcPr>
          <w:p w14:paraId="47B07BE9" w14:textId="77777777" w:rsidR="00046F06" w:rsidRDefault="00046F06" w:rsidP="00805046"/>
        </w:tc>
        <w:tc>
          <w:tcPr>
            <w:tcW w:w="2031" w:type="dxa"/>
          </w:tcPr>
          <w:p w14:paraId="588E719C" w14:textId="77777777" w:rsidR="00046F06" w:rsidRDefault="00046F06" w:rsidP="00805046"/>
        </w:tc>
        <w:tc>
          <w:tcPr>
            <w:tcW w:w="1787" w:type="dxa"/>
          </w:tcPr>
          <w:p w14:paraId="6BA950F3" w14:textId="77777777" w:rsidR="00046F06" w:rsidRDefault="00046F06" w:rsidP="00805046"/>
        </w:tc>
        <w:tc>
          <w:tcPr>
            <w:tcW w:w="3275" w:type="dxa"/>
          </w:tcPr>
          <w:p w14:paraId="59936DF7" w14:textId="77777777" w:rsidR="00046F06" w:rsidRDefault="00046F06" w:rsidP="00805046"/>
        </w:tc>
      </w:tr>
    </w:tbl>
    <w:p w14:paraId="00000002" w14:textId="77777777" w:rsidR="00EB11DA" w:rsidRPr="00046F06" w:rsidRDefault="00EB11DA" w:rsidP="00046F06"/>
    <w:sectPr w:rsidR="00EB11DA" w:rsidRPr="00046F06">
      <w:headerReference w:type="default" r:id="rId8"/>
      <w:footerReference w:type="even" r:id="rId9"/>
      <w:footerReference w:type="default" r:id="rId10"/>
      <w:pgSz w:w="12240" w:h="15840"/>
      <w:pgMar w:top="1440" w:right="1440" w:bottom="1440" w:left="1440" w:header="720" w:footer="14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FE24E9" w14:textId="77777777" w:rsidR="00E83E79" w:rsidRDefault="00E83E79">
      <w:pPr>
        <w:spacing w:after="0" w:line="240" w:lineRule="auto"/>
      </w:pPr>
      <w:r>
        <w:separator/>
      </w:r>
    </w:p>
  </w:endnote>
  <w:endnote w:type="continuationSeparator" w:id="0">
    <w:p w14:paraId="5E19B767" w14:textId="77777777" w:rsidR="00E83E79" w:rsidRDefault="00E83E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yriad Pro">
    <w:altName w:val="﷽﷽﷽﷽﷽﷽﷽﷽ro"/>
    <w:panose1 w:val="020B0503030403020204"/>
    <w:charset w:val="00"/>
    <w:family w:val="swiss"/>
    <w:pitch w:val="variable"/>
    <w:sig w:usb0="20000287" w:usb1="00000001" w:usb2="00000000" w:usb3="00000000" w:csb0="0000019F" w:csb1="00000000"/>
  </w:font>
  <w:font w:name="JEGAH M+ Myriad Pro">
    <w:panose1 w:val="020B06040202020202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Georgia">
    <w:altName w:val="Georgia"/>
    <w:panose1 w:val="02040502050405020303"/>
    <w:charset w:val="00"/>
    <w:family w:val="roman"/>
    <w:pitch w:val="variable"/>
    <w:sig w:usb0="00000287" w:usb1="00000000" w:usb2="00000000" w:usb3="00000000" w:csb0="0000009F" w:csb1="00000000"/>
  </w:font>
  <w:font w:name="Cordia New">
    <w:panose1 w:val="020B0304020202020204"/>
    <w:charset w:val="00"/>
    <w:family w:val="swiss"/>
    <w:pitch w:val="variable"/>
    <w:sig w:usb0="81000003" w:usb1="00000000" w:usb2="00000000" w:usb3="00000000" w:csb0="00010001" w:csb1="00000000"/>
  </w:font>
  <w:font w:name="Trebuchet MS">
    <w:altName w:val="Trebuchet MS"/>
    <w:panose1 w:val="020B0603020202020204"/>
    <w:charset w:val="CC"/>
    <w:family w:val="swiss"/>
    <w:pitch w:val="variable"/>
    <w:sig w:usb0="000006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Angsana New">
    <w:panose1 w:val="02020603050405020304"/>
    <w:charset w:val="00"/>
    <w:family w:val="roman"/>
    <w:pitch w:val="variable"/>
    <w:sig w:usb0="81000003" w:usb1="00000000" w:usb2="00000000" w:usb3="00000000" w:csb0="00010001" w:csb1="00000000"/>
  </w:font>
  <w:font w:name="Libre Baskerville">
    <w:altName w:val="Calibri"/>
    <w:panose1 w:val="020B0604020202020204"/>
    <w:charset w:val="00"/>
    <w:family w:val="auto"/>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04" w14:textId="77777777" w:rsidR="00EB11DA" w:rsidRDefault="00EB11DA"/>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05" w14:textId="77777777" w:rsidR="00EB11DA" w:rsidRDefault="00EB11DA">
    <w:pPr>
      <w:tabs>
        <w:tab w:val="center" w:pos="4680"/>
        <w:tab w:val="right" w:pos="9360"/>
      </w:tabs>
      <w:rPr>
        <w:rFonts w:ascii="Libre Baskerville" w:eastAsia="Libre Baskerville" w:hAnsi="Libre Baskerville" w:cs="Libre Baskerville"/>
        <w:sz w:val="24"/>
        <w:szCs w:val="24"/>
      </w:rPr>
    </w:pPr>
    <w:bookmarkStart w:id="0" w:name="_heading=h.gjdgxs" w:colFirst="0" w:colLast="0"/>
    <w:bookmarkEnd w:id="0"/>
  </w:p>
  <w:p w14:paraId="00000006" w14:textId="77777777" w:rsidR="00EB11DA" w:rsidRDefault="00367D06">
    <w:pPr>
      <w:pBdr>
        <w:top w:val="nil"/>
        <w:left w:val="nil"/>
        <w:bottom w:val="nil"/>
        <w:right w:val="nil"/>
        <w:between w:val="nil"/>
      </w:pBdr>
      <w:tabs>
        <w:tab w:val="center" w:pos="4680"/>
        <w:tab w:val="right" w:pos="9360"/>
      </w:tabs>
      <w:rPr>
        <w:rFonts w:ascii="Libre Baskerville" w:eastAsia="Libre Baskerville" w:hAnsi="Libre Baskerville" w:cs="Libre Baskerville"/>
        <w:color w:val="365F91"/>
        <w:sz w:val="20"/>
        <w:szCs w:val="20"/>
      </w:rPr>
    </w:pPr>
    <w:r>
      <w:rPr>
        <w:rFonts w:ascii="Libre Baskerville" w:eastAsia="Libre Baskerville" w:hAnsi="Libre Baskerville" w:cs="Libre Baskerville"/>
        <w:color w:val="365F91"/>
        <w:sz w:val="20"/>
        <w:szCs w:val="20"/>
      </w:rPr>
      <w:t>Royalty Exchange Inc.</w:t>
    </w:r>
    <w:r>
      <w:rPr>
        <w:rFonts w:ascii="Libre Baskerville" w:eastAsia="Libre Baskerville" w:hAnsi="Libre Baskerville" w:cs="Libre Baskerville"/>
        <w:color w:val="365F91"/>
        <w:sz w:val="20"/>
        <w:szCs w:val="20"/>
      </w:rPr>
      <w:tab/>
      <w:t xml:space="preserve">1550 Larimer St. #769 Denver, CO 80202 </w:t>
    </w:r>
    <w:r>
      <w:rPr>
        <w:rFonts w:ascii="Libre Baskerville" w:eastAsia="Libre Baskerville" w:hAnsi="Libre Baskerville" w:cs="Libre Baskerville"/>
        <w:color w:val="365F91"/>
        <w:sz w:val="20"/>
        <w:szCs w:val="20"/>
      </w:rPr>
      <w:tab/>
      <w:t>800-718-2269</w:t>
    </w:r>
    <w:r>
      <w:rPr>
        <w:rFonts w:ascii="Libre Baskerville" w:eastAsia="Libre Baskerville" w:hAnsi="Libre Baskerville" w:cs="Libre Baskerville"/>
        <w:color w:val="365F91"/>
        <w:sz w:val="20"/>
        <w:szCs w:val="2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4DA708" w14:textId="77777777" w:rsidR="00E83E79" w:rsidRDefault="00E83E79">
      <w:pPr>
        <w:spacing w:after="0" w:line="240" w:lineRule="auto"/>
      </w:pPr>
      <w:r>
        <w:separator/>
      </w:r>
    </w:p>
  </w:footnote>
  <w:footnote w:type="continuationSeparator" w:id="0">
    <w:p w14:paraId="0156B220" w14:textId="77777777" w:rsidR="00E83E79" w:rsidRDefault="00E83E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03" w14:textId="77777777" w:rsidR="00EB11DA" w:rsidRDefault="00367D06">
    <w:pPr>
      <w:pBdr>
        <w:top w:val="nil"/>
        <w:left w:val="nil"/>
        <w:bottom w:val="nil"/>
        <w:right w:val="nil"/>
        <w:between w:val="nil"/>
      </w:pBdr>
      <w:tabs>
        <w:tab w:val="center" w:pos="4680"/>
        <w:tab w:val="right" w:pos="9360"/>
      </w:tabs>
      <w:jc w:val="right"/>
      <w:rPr>
        <w:b/>
        <w:color w:val="365F91"/>
      </w:rPr>
    </w:pPr>
    <w:r>
      <w:rPr>
        <w:b/>
        <w:color w:val="365F91"/>
      </w:rPr>
      <w:t xml:space="preserve"> </w:t>
    </w:r>
    <w:r>
      <w:rPr>
        <w:noProof/>
      </w:rPr>
      <w:drawing>
        <wp:anchor distT="0" distB="0" distL="114300" distR="114300" simplePos="0" relativeHeight="251658240" behindDoc="0" locked="0" layoutInCell="1" hidden="0" allowOverlap="1">
          <wp:simplePos x="0" y="0"/>
          <wp:positionH relativeFrom="column">
            <wp:posOffset>4389120</wp:posOffset>
          </wp:positionH>
          <wp:positionV relativeFrom="paragraph">
            <wp:posOffset>0</wp:posOffset>
          </wp:positionV>
          <wp:extent cx="2067560" cy="588645"/>
          <wp:effectExtent l="0" t="0" r="0" b="0"/>
          <wp:wrapNone/>
          <wp:docPr id="3" name="image1.png" descr="logo-b_cmyk"/>
          <wp:cNvGraphicFramePr/>
          <a:graphic xmlns:a="http://schemas.openxmlformats.org/drawingml/2006/main">
            <a:graphicData uri="http://schemas.openxmlformats.org/drawingml/2006/picture">
              <pic:pic xmlns:pic="http://schemas.openxmlformats.org/drawingml/2006/picture">
                <pic:nvPicPr>
                  <pic:cNvPr id="0" name="image1.png" descr="logo-b_cmyk"/>
                  <pic:cNvPicPr preferRelativeResize="0"/>
                </pic:nvPicPr>
                <pic:blipFill>
                  <a:blip r:embed="rId1"/>
                  <a:srcRect/>
                  <a:stretch>
                    <a:fillRect/>
                  </a:stretch>
                </pic:blipFill>
                <pic:spPr>
                  <a:xfrm>
                    <a:off x="0" y="0"/>
                    <a:ext cx="2067560" cy="588645"/>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FA0973"/>
    <w:multiLevelType w:val="hybridMultilevel"/>
    <w:tmpl w:val="5D109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585F70"/>
    <w:multiLevelType w:val="hybridMultilevel"/>
    <w:tmpl w:val="45C28454"/>
    <w:lvl w:ilvl="0" w:tplc="0409000F">
      <w:start w:val="1"/>
      <w:numFmt w:val="decimal"/>
      <w:lvlText w:val="%1."/>
      <w:lvlJc w:val="left"/>
      <w:pPr>
        <w:tabs>
          <w:tab w:val="num" w:pos="720"/>
        </w:tabs>
        <w:ind w:left="72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34A1A"/>
    <w:multiLevelType w:val="hybridMultilevel"/>
    <w:tmpl w:val="DDFEE15C"/>
    <w:lvl w:ilvl="0" w:tplc="3E22F91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6337B2"/>
    <w:multiLevelType w:val="hybridMultilevel"/>
    <w:tmpl w:val="4148DF02"/>
    <w:lvl w:ilvl="0" w:tplc="BE765E2E">
      <w:start w:val="1"/>
      <w:numFmt w:val="bullet"/>
      <w:pStyle w:val="BulletLis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1354D1E"/>
    <w:multiLevelType w:val="hybridMultilevel"/>
    <w:tmpl w:val="85360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8300D8"/>
    <w:multiLevelType w:val="hybridMultilevel"/>
    <w:tmpl w:val="0FFEC62A"/>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7166C3F"/>
    <w:multiLevelType w:val="hybridMultilevel"/>
    <w:tmpl w:val="A536B692"/>
    <w:lvl w:ilvl="0" w:tplc="6FFCAFFC">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17D16027"/>
    <w:multiLevelType w:val="hybridMultilevel"/>
    <w:tmpl w:val="2BB2A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992E67"/>
    <w:multiLevelType w:val="multilevel"/>
    <w:tmpl w:val="E7E4D92E"/>
    <w:lvl w:ilvl="0">
      <w:start w:val="5"/>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9" w15:restartNumberingAfterBreak="0">
    <w:nsid w:val="25FF71A6"/>
    <w:multiLevelType w:val="hybridMultilevel"/>
    <w:tmpl w:val="9F88D5F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D9B5149"/>
    <w:multiLevelType w:val="hybridMultilevel"/>
    <w:tmpl w:val="73BA3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F0601A"/>
    <w:multiLevelType w:val="multilevel"/>
    <w:tmpl w:val="09BA9D8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301E298E"/>
    <w:multiLevelType w:val="hybridMultilevel"/>
    <w:tmpl w:val="3CE80D28"/>
    <w:lvl w:ilvl="0" w:tplc="2EEA21C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04F05EA"/>
    <w:multiLevelType w:val="hybridMultilevel"/>
    <w:tmpl w:val="28468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074080C"/>
    <w:multiLevelType w:val="hybridMultilevel"/>
    <w:tmpl w:val="8BE2F5F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2FE6B78"/>
    <w:multiLevelType w:val="hybridMultilevel"/>
    <w:tmpl w:val="505EA2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4363500"/>
    <w:multiLevelType w:val="multilevel"/>
    <w:tmpl w:val="8C40D76A"/>
    <w:lvl w:ilvl="0">
      <w:start w:val="4"/>
      <w:numFmt w:val="decimal"/>
      <w:lvlText w:val="%1"/>
      <w:lvlJc w:val="left"/>
      <w:pPr>
        <w:ind w:left="360" w:hanging="360"/>
      </w:pPr>
      <w:rPr>
        <w:rFonts w:hint="default"/>
        <w:b/>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7" w15:restartNumberingAfterBreak="0">
    <w:nsid w:val="38A969C9"/>
    <w:multiLevelType w:val="hybridMultilevel"/>
    <w:tmpl w:val="376EF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C6B1883"/>
    <w:multiLevelType w:val="hybridMultilevel"/>
    <w:tmpl w:val="37D2C8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D005CD9"/>
    <w:multiLevelType w:val="hybridMultilevel"/>
    <w:tmpl w:val="73A021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E05048C"/>
    <w:multiLevelType w:val="multilevel"/>
    <w:tmpl w:val="38883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4A77CA5"/>
    <w:multiLevelType w:val="hybridMultilevel"/>
    <w:tmpl w:val="1B96BD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93F4305"/>
    <w:multiLevelType w:val="hybridMultilevel"/>
    <w:tmpl w:val="91E44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2346B7C"/>
    <w:multiLevelType w:val="multilevel"/>
    <w:tmpl w:val="64B605F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5C445B5E"/>
    <w:multiLevelType w:val="hybridMultilevel"/>
    <w:tmpl w:val="DB642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D250F6F"/>
    <w:multiLevelType w:val="multilevel"/>
    <w:tmpl w:val="A31E3184"/>
    <w:lvl w:ilvl="0">
      <w:start w:val="4"/>
      <w:numFmt w:val="decimal"/>
      <w:lvlText w:val="%1"/>
      <w:lvlJc w:val="left"/>
      <w:pPr>
        <w:ind w:left="390" w:hanging="390"/>
      </w:pPr>
      <w:rPr>
        <w:rFonts w:hint="default"/>
        <w:color w:val="000000" w:themeColor="text1"/>
      </w:rPr>
    </w:lvl>
    <w:lvl w:ilvl="1">
      <w:start w:val="1"/>
      <w:numFmt w:val="decimal"/>
      <w:lvlText w:val="%1.%2"/>
      <w:lvlJc w:val="left"/>
      <w:pPr>
        <w:ind w:left="720" w:hanging="720"/>
      </w:pPr>
      <w:rPr>
        <w:rFonts w:hint="default"/>
        <w:color w:val="000000" w:themeColor="text1"/>
      </w:rPr>
    </w:lvl>
    <w:lvl w:ilvl="2">
      <w:start w:val="1"/>
      <w:numFmt w:val="decimal"/>
      <w:lvlText w:val="%1.%2.%3"/>
      <w:lvlJc w:val="left"/>
      <w:pPr>
        <w:ind w:left="720" w:hanging="720"/>
      </w:pPr>
      <w:rPr>
        <w:rFonts w:hint="default"/>
        <w:color w:val="000000" w:themeColor="text1"/>
      </w:rPr>
    </w:lvl>
    <w:lvl w:ilvl="3">
      <w:start w:val="1"/>
      <w:numFmt w:val="decimal"/>
      <w:lvlText w:val="%1.%2.%3.%4"/>
      <w:lvlJc w:val="left"/>
      <w:pPr>
        <w:ind w:left="1080" w:hanging="1080"/>
      </w:pPr>
      <w:rPr>
        <w:rFonts w:hint="default"/>
        <w:color w:val="000000" w:themeColor="text1"/>
      </w:rPr>
    </w:lvl>
    <w:lvl w:ilvl="4">
      <w:start w:val="1"/>
      <w:numFmt w:val="decimal"/>
      <w:lvlText w:val="%1.%2.%3.%4.%5"/>
      <w:lvlJc w:val="left"/>
      <w:pPr>
        <w:ind w:left="1440" w:hanging="1440"/>
      </w:pPr>
      <w:rPr>
        <w:rFonts w:hint="default"/>
        <w:color w:val="000000" w:themeColor="text1"/>
      </w:rPr>
    </w:lvl>
    <w:lvl w:ilvl="5">
      <w:start w:val="1"/>
      <w:numFmt w:val="decimal"/>
      <w:lvlText w:val="%1.%2.%3.%4.%5.%6"/>
      <w:lvlJc w:val="left"/>
      <w:pPr>
        <w:ind w:left="1440" w:hanging="1440"/>
      </w:pPr>
      <w:rPr>
        <w:rFonts w:hint="default"/>
        <w:color w:val="000000" w:themeColor="text1"/>
      </w:rPr>
    </w:lvl>
    <w:lvl w:ilvl="6">
      <w:start w:val="1"/>
      <w:numFmt w:val="decimal"/>
      <w:lvlText w:val="%1.%2.%3.%4.%5.%6.%7"/>
      <w:lvlJc w:val="left"/>
      <w:pPr>
        <w:ind w:left="1800" w:hanging="1800"/>
      </w:pPr>
      <w:rPr>
        <w:rFonts w:hint="default"/>
        <w:color w:val="000000" w:themeColor="text1"/>
      </w:rPr>
    </w:lvl>
    <w:lvl w:ilvl="7">
      <w:start w:val="1"/>
      <w:numFmt w:val="decimal"/>
      <w:lvlText w:val="%1.%2.%3.%4.%5.%6.%7.%8"/>
      <w:lvlJc w:val="left"/>
      <w:pPr>
        <w:ind w:left="2160" w:hanging="2160"/>
      </w:pPr>
      <w:rPr>
        <w:rFonts w:hint="default"/>
        <w:color w:val="000000" w:themeColor="text1"/>
      </w:rPr>
    </w:lvl>
    <w:lvl w:ilvl="8">
      <w:start w:val="1"/>
      <w:numFmt w:val="decimal"/>
      <w:lvlText w:val="%1.%2.%3.%4.%5.%6.%7.%8.%9"/>
      <w:lvlJc w:val="left"/>
      <w:pPr>
        <w:ind w:left="2160" w:hanging="2160"/>
      </w:pPr>
      <w:rPr>
        <w:rFonts w:hint="default"/>
        <w:color w:val="000000" w:themeColor="text1"/>
      </w:rPr>
    </w:lvl>
  </w:abstractNum>
  <w:abstractNum w:abstractNumId="26" w15:restartNumberingAfterBreak="0">
    <w:nsid w:val="5F267406"/>
    <w:multiLevelType w:val="hybridMultilevel"/>
    <w:tmpl w:val="92601210"/>
    <w:lvl w:ilvl="0" w:tplc="0CDA7B52">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0242175"/>
    <w:multiLevelType w:val="hybridMultilevel"/>
    <w:tmpl w:val="8020D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1664F63"/>
    <w:multiLevelType w:val="multilevel"/>
    <w:tmpl w:val="B1280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1B80928"/>
    <w:multiLevelType w:val="hybridMultilevel"/>
    <w:tmpl w:val="907A3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3D07851"/>
    <w:multiLevelType w:val="hybridMultilevel"/>
    <w:tmpl w:val="24701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5401890"/>
    <w:multiLevelType w:val="hybridMultilevel"/>
    <w:tmpl w:val="F97E0FA6"/>
    <w:lvl w:ilvl="0" w:tplc="98907C20">
      <w:start w:val="1"/>
      <w:numFmt w:val="bullet"/>
      <w:lvlText w:val="•"/>
      <w:lvlJc w:val="left"/>
      <w:pPr>
        <w:ind w:left="286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2F65AE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AF85F30">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8BE320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78C35CA">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56C389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ED691A4">
      <w:start w:val="1"/>
      <w:numFmt w:val="bullet"/>
      <w:lvlText w:val="•"/>
      <w:lvlJc w:val="left"/>
      <w:pPr>
        <w:ind w:left="72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7689EBE">
      <w:start w:val="1"/>
      <w:numFmt w:val="bullet"/>
      <w:lvlText w:val="o"/>
      <w:lvlJc w:val="left"/>
      <w:pPr>
        <w:ind w:left="79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60CEB12">
      <w:start w:val="1"/>
      <w:numFmt w:val="bullet"/>
      <w:lvlText w:val="▪"/>
      <w:lvlJc w:val="left"/>
      <w:pPr>
        <w:ind w:left="86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2" w15:restartNumberingAfterBreak="0">
    <w:nsid w:val="65581AF4"/>
    <w:multiLevelType w:val="hybridMultilevel"/>
    <w:tmpl w:val="09B6C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6CF565F"/>
    <w:multiLevelType w:val="hybridMultilevel"/>
    <w:tmpl w:val="2132D35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72D7A27"/>
    <w:multiLevelType w:val="hybridMultilevel"/>
    <w:tmpl w:val="F4342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8B70824"/>
    <w:multiLevelType w:val="multilevel"/>
    <w:tmpl w:val="1CEE472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6" w15:restartNumberingAfterBreak="0">
    <w:nsid w:val="6A74359E"/>
    <w:multiLevelType w:val="hybridMultilevel"/>
    <w:tmpl w:val="580ADEC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7" w15:restartNumberingAfterBreak="0">
    <w:nsid w:val="70A67123"/>
    <w:multiLevelType w:val="multilevel"/>
    <w:tmpl w:val="F194760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771E0DA1"/>
    <w:multiLevelType w:val="hybridMultilevel"/>
    <w:tmpl w:val="F9D61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ABF3935"/>
    <w:multiLevelType w:val="hybridMultilevel"/>
    <w:tmpl w:val="835829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8"/>
  </w:num>
  <w:num w:numId="3">
    <w:abstractNumId w:val="22"/>
  </w:num>
  <w:num w:numId="4">
    <w:abstractNumId w:val="3"/>
  </w:num>
  <w:num w:numId="5">
    <w:abstractNumId w:val="6"/>
  </w:num>
  <w:num w:numId="6">
    <w:abstractNumId w:val="21"/>
  </w:num>
  <w:num w:numId="7">
    <w:abstractNumId w:val="35"/>
  </w:num>
  <w:num w:numId="8">
    <w:abstractNumId w:val="12"/>
  </w:num>
  <w:num w:numId="9">
    <w:abstractNumId w:val="33"/>
  </w:num>
  <w:num w:numId="10">
    <w:abstractNumId w:val="0"/>
  </w:num>
  <w:num w:numId="11">
    <w:abstractNumId w:val="28"/>
  </w:num>
  <w:num w:numId="12">
    <w:abstractNumId w:val="15"/>
  </w:num>
  <w:num w:numId="13">
    <w:abstractNumId w:val="37"/>
  </w:num>
  <w:num w:numId="14">
    <w:abstractNumId w:val="13"/>
  </w:num>
  <w:num w:numId="15">
    <w:abstractNumId w:val="34"/>
  </w:num>
  <w:num w:numId="16">
    <w:abstractNumId w:val="10"/>
  </w:num>
  <w:num w:numId="17">
    <w:abstractNumId w:val="11"/>
  </w:num>
  <w:num w:numId="18">
    <w:abstractNumId w:val="2"/>
  </w:num>
  <w:num w:numId="19">
    <w:abstractNumId w:val="29"/>
  </w:num>
  <w:num w:numId="20">
    <w:abstractNumId w:val="1"/>
  </w:num>
  <w:num w:numId="21">
    <w:abstractNumId w:val="9"/>
  </w:num>
  <w:num w:numId="22">
    <w:abstractNumId w:val="30"/>
  </w:num>
  <w:num w:numId="23">
    <w:abstractNumId w:val="5"/>
  </w:num>
  <w:num w:numId="24">
    <w:abstractNumId w:val="25"/>
  </w:num>
  <w:num w:numId="25">
    <w:abstractNumId w:val="32"/>
  </w:num>
  <w:num w:numId="26">
    <w:abstractNumId w:val="16"/>
  </w:num>
  <w:num w:numId="27">
    <w:abstractNumId w:val="36"/>
  </w:num>
  <w:num w:numId="28">
    <w:abstractNumId w:val="20"/>
  </w:num>
  <w:num w:numId="29">
    <w:abstractNumId w:val="7"/>
  </w:num>
  <w:num w:numId="30">
    <w:abstractNumId w:val="27"/>
  </w:num>
  <w:num w:numId="31">
    <w:abstractNumId w:val="23"/>
  </w:num>
  <w:num w:numId="32">
    <w:abstractNumId w:val="24"/>
  </w:num>
  <w:num w:numId="33">
    <w:abstractNumId w:val="17"/>
  </w:num>
  <w:num w:numId="34">
    <w:abstractNumId w:val="39"/>
  </w:num>
  <w:num w:numId="35">
    <w:abstractNumId w:val="18"/>
  </w:num>
  <w:num w:numId="36">
    <w:abstractNumId w:val="19"/>
  </w:num>
  <w:num w:numId="37">
    <w:abstractNumId w:val="4"/>
  </w:num>
  <w:num w:numId="38">
    <w:abstractNumId w:val="31"/>
  </w:num>
  <w:num w:numId="39">
    <w:abstractNumId w:val="38"/>
  </w:num>
  <w:num w:numId="40">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11DA"/>
    <w:rsid w:val="00046F06"/>
    <w:rsid w:val="000C2B76"/>
    <w:rsid w:val="001045D7"/>
    <w:rsid w:val="00130074"/>
    <w:rsid w:val="001706CE"/>
    <w:rsid w:val="00183119"/>
    <w:rsid w:val="001C7E36"/>
    <w:rsid w:val="001D3811"/>
    <w:rsid w:val="00235991"/>
    <w:rsid w:val="002C4000"/>
    <w:rsid w:val="00304628"/>
    <w:rsid w:val="00367D06"/>
    <w:rsid w:val="003A20ED"/>
    <w:rsid w:val="004C4788"/>
    <w:rsid w:val="00536151"/>
    <w:rsid w:val="00566876"/>
    <w:rsid w:val="006C23A4"/>
    <w:rsid w:val="0070470D"/>
    <w:rsid w:val="00711388"/>
    <w:rsid w:val="008015D4"/>
    <w:rsid w:val="00887F58"/>
    <w:rsid w:val="008A69B7"/>
    <w:rsid w:val="008F155A"/>
    <w:rsid w:val="00AC167C"/>
    <w:rsid w:val="00AE2C80"/>
    <w:rsid w:val="00B14E8B"/>
    <w:rsid w:val="00B5347F"/>
    <w:rsid w:val="00B57B40"/>
    <w:rsid w:val="00C046E8"/>
    <w:rsid w:val="00CE668A"/>
    <w:rsid w:val="00D13EF1"/>
    <w:rsid w:val="00D25C01"/>
    <w:rsid w:val="00D7436A"/>
    <w:rsid w:val="00E11994"/>
    <w:rsid w:val="00E44E7E"/>
    <w:rsid w:val="00E817F2"/>
    <w:rsid w:val="00E83E79"/>
    <w:rsid w:val="00EB11DA"/>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decimalSymbol w:val="."/>
  <w:listSeparator w:val=","/>
  <w14:docId w14:val="34D9F405"/>
  <w15:docId w15:val="{C2D52EB6-FBA0-9145-90EE-2B46DF1E2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zh-CN" w:bidi="th-TH"/>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1BBE"/>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pPr>
      <w:keepNext/>
      <w:keepLines/>
      <w:spacing w:before="480" w:after="120"/>
    </w:pPr>
    <w:rPr>
      <w:b/>
      <w:sz w:val="72"/>
      <w:szCs w:val="72"/>
    </w:rPr>
  </w:style>
  <w:style w:type="paragraph" w:customStyle="1" w:styleId="Default">
    <w:name w:val="Default"/>
    <w:rsid w:val="002601C6"/>
    <w:pPr>
      <w:autoSpaceDE w:val="0"/>
      <w:autoSpaceDN w:val="0"/>
      <w:adjustRightInd w:val="0"/>
    </w:pPr>
    <w:rPr>
      <w:rFonts w:ascii="Myriad Pro" w:hAnsi="Myriad Pro" w:cs="Myriad Pro"/>
      <w:color w:val="000000"/>
      <w:sz w:val="24"/>
      <w:szCs w:val="24"/>
    </w:rPr>
  </w:style>
  <w:style w:type="paragraph" w:customStyle="1" w:styleId="Pa1">
    <w:name w:val="Pa1"/>
    <w:basedOn w:val="Default"/>
    <w:next w:val="Default"/>
    <w:uiPriority w:val="99"/>
    <w:rsid w:val="002601C6"/>
    <w:pPr>
      <w:spacing w:line="241" w:lineRule="atLeast"/>
    </w:pPr>
    <w:rPr>
      <w:rFonts w:cs="Times New Roman"/>
      <w:color w:val="auto"/>
    </w:rPr>
  </w:style>
  <w:style w:type="character" w:customStyle="1" w:styleId="A2">
    <w:name w:val="A2"/>
    <w:uiPriority w:val="99"/>
    <w:rsid w:val="002601C6"/>
    <w:rPr>
      <w:rFonts w:ascii="JEGAH M+ Myriad Pro" w:hAnsi="JEGAH M+ Myriad Pro" w:cs="JEGAH M+ Myriad Pro"/>
      <w:color w:val="000000"/>
      <w:sz w:val="22"/>
      <w:szCs w:val="22"/>
    </w:rPr>
  </w:style>
  <w:style w:type="character" w:customStyle="1" w:styleId="A4">
    <w:name w:val="A4"/>
    <w:uiPriority w:val="99"/>
    <w:rsid w:val="002601C6"/>
    <w:rPr>
      <w:rFonts w:cs="Myriad Pro"/>
      <w:b/>
      <w:bCs/>
      <w:color w:val="000000"/>
      <w:sz w:val="20"/>
      <w:szCs w:val="20"/>
    </w:rPr>
  </w:style>
  <w:style w:type="paragraph" w:customStyle="1" w:styleId="Pa0">
    <w:name w:val="Pa0"/>
    <w:basedOn w:val="Default"/>
    <w:next w:val="Default"/>
    <w:uiPriority w:val="99"/>
    <w:rsid w:val="002601C6"/>
    <w:pPr>
      <w:spacing w:line="241" w:lineRule="atLeast"/>
    </w:pPr>
    <w:rPr>
      <w:rFonts w:cs="Times New Roman"/>
      <w:color w:val="auto"/>
    </w:rPr>
  </w:style>
  <w:style w:type="character" w:customStyle="1" w:styleId="A0">
    <w:name w:val="A0"/>
    <w:uiPriority w:val="99"/>
    <w:rsid w:val="002601C6"/>
    <w:rPr>
      <w:rFonts w:ascii="JEGAH M+ Myriad Pro" w:hAnsi="JEGAH M+ Myriad Pro" w:cs="JEGAH M+ Myriad Pro"/>
      <w:color w:val="000000"/>
      <w:sz w:val="18"/>
      <w:szCs w:val="18"/>
    </w:rPr>
  </w:style>
  <w:style w:type="paragraph" w:styleId="Header">
    <w:name w:val="header"/>
    <w:basedOn w:val="Normal"/>
    <w:link w:val="HeaderChar"/>
    <w:uiPriority w:val="99"/>
    <w:unhideWhenUsed/>
    <w:rsid w:val="00422337"/>
    <w:pPr>
      <w:tabs>
        <w:tab w:val="center" w:pos="4680"/>
        <w:tab w:val="right" w:pos="9360"/>
      </w:tabs>
    </w:pPr>
  </w:style>
  <w:style w:type="character" w:customStyle="1" w:styleId="HeaderChar">
    <w:name w:val="Header Char"/>
    <w:link w:val="Header"/>
    <w:uiPriority w:val="99"/>
    <w:rsid w:val="00422337"/>
    <w:rPr>
      <w:sz w:val="22"/>
      <w:szCs w:val="22"/>
    </w:rPr>
  </w:style>
  <w:style w:type="paragraph" w:styleId="Footer">
    <w:name w:val="footer"/>
    <w:basedOn w:val="Normal"/>
    <w:link w:val="FooterChar"/>
    <w:uiPriority w:val="99"/>
    <w:unhideWhenUsed/>
    <w:rsid w:val="00422337"/>
    <w:pPr>
      <w:tabs>
        <w:tab w:val="center" w:pos="4680"/>
        <w:tab w:val="right" w:pos="9360"/>
      </w:tabs>
    </w:pPr>
  </w:style>
  <w:style w:type="character" w:customStyle="1" w:styleId="FooterChar">
    <w:name w:val="Footer Char"/>
    <w:link w:val="Footer"/>
    <w:uiPriority w:val="99"/>
    <w:rsid w:val="00422337"/>
    <w:rPr>
      <w:sz w:val="22"/>
      <w:szCs w:val="22"/>
    </w:rPr>
  </w:style>
  <w:style w:type="paragraph" w:styleId="BalloonText">
    <w:name w:val="Balloon Text"/>
    <w:basedOn w:val="Normal"/>
    <w:link w:val="BalloonTextChar"/>
    <w:uiPriority w:val="99"/>
    <w:semiHidden/>
    <w:unhideWhenUsed/>
    <w:rsid w:val="00422337"/>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422337"/>
    <w:rPr>
      <w:rFonts w:ascii="Tahoma" w:hAnsi="Tahoma" w:cs="Tahoma"/>
      <w:sz w:val="16"/>
      <w:szCs w:val="16"/>
    </w:rPr>
  </w:style>
  <w:style w:type="character" w:styleId="Hyperlink">
    <w:name w:val="Hyperlink"/>
    <w:basedOn w:val="DefaultParagraphFont"/>
    <w:uiPriority w:val="99"/>
    <w:unhideWhenUsed/>
    <w:rsid w:val="002C7CB6"/>
    <w:rPr>
      <w:color w:val="0000FF" w:themeColor="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D7436A"/>
    <w:pPr>
      <w:ind w:left="720"/>
      <w:contextualSpacing/>
    </w:pPr>
    <w:rPr>
      <w:rFonts w:ascii="Times New Roman" w:eastAsiaTheme="minorHAnsi" w:hAnsi="Times New Roman" w:cstheme="minorBidi"/>
      <w:sz w:val="24"/>
      <w:lang w:eastAsia="en-US" w:bidi="ar-SA"/>
    </w:rPr>
  </w:style>
  <w:style w:type="table" w:styleId="MediumShading1-Accent1">
    <w:name w:val="Medium Shading 1 Accent 1"/>
    <w:basedOn w:val="TableNormal"/>
    <w:uiPriority w:val="63"/>
    <w:rsid w:val="00D7436A"/>
    <w:pPr>
      <w:spacing w:after="0" w:line="240" w:lineRule="auto"/>
    </w:pPr>
    <w:rPr>
      <w:rFonts w:asciiTheme="minorHAnsi" w:eastAsiaTheme="minorHAnsi" w:hAnsiTheme="minorHAnsi" w:cstheme="minorBidi"/>
      <w:lang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Heading20">
    <w:name w:val="_Heading 2"/>
    <w:basedOn w:val="Heading2"/>
    <w:qFormat/>
    <w:rsid w:val="00AC167C"/>
    <w:pPr>
      <w:spacing w:before="200" w:after="0"/>
    </w:pPr>
    <w:rPr>
      <w:rFonts w:ascii="Trebuchet MS" w:eastAsiaTheme="majorEastAsia" w:hAnsi="Trebuchet MS" w:cstheme="majorBidi"/>
      <w:bCs/>
      <w:color w:val="4F81BD" w:themeColor="accent1"/>
      <w:sz w:val="24"/>
      <w:szCs w:val="26"/>
      <w:lang w:eastAsia="en-US" w:bidi="ar-SA"/>
    </w:rPr>
  </w:style>
  <w:style w:type="paragraph" w:customStyle="1" w:styleId="BulletList">
    <w:name w:val="_Bullet List"/>
    <w:basedOn w:val="ListParagraph"/>
    <w:qFormat/>
    <w:rsid w:val="00AC167C"/>
    <w:pPr>
      <w:numPr>
        <w:numId w:val="4"/>
      </w:numPr>
      <w:spacing w:after="120"/>
    </w:pPr>
    <w:rPr>
      <w:rFonts w:ascii="Calibri" w:hAnsi="Calibri"/>
      <w:sz w:val="20"/>
    </w:rPr>
  </w:style>
  <w:style w:type="paragraph" w:customStyle="1" w:styleId="VersionTable">
    <w:name w:val="Version Table"/>
    <w:basedOn w:val="Normal"/>
    <w:qFormat/>
    <w:rsid w:val="00AC167C"/>
    <w:pPr>
      <w:spacing w:after="0" w:line="240" w:lineRule="auto"/>
    </w:pPr>
    <w:rPr>
      <w:rFonts w:ascii="Trebuchet MS" w:eastAsiaTheme="minorHAnsi" w:hAnsi="Trebuchet MS" w:cstheme="minorBidi"/>
      <w:b/>
      <w:sz w:val="20"/>
      <w:lang w:val="en-AU" w:eastAsia="en-US" w:bidi="ar-SA"/>
    </w:rPr>
  </w:style>
  <w:style w:type="paragraph" w:customStyle="1" w:styleId="MainText">
    <w:name w:val="_Main Text"/>
    <w:basedOn w:val="Normal"/>
    <w:qFormat/>
    <w:rsid w:val="00AC167C"/>
    <w:pPr>
      <w:spacing w:before="120" w:after="120"/>
      <w:jc w:val="both"/>
    </w:pPr>
    <w:rPr>
      <w:rFonts w:eastAsiaTheme="minorHAnsi" w:cstheme="minorBidi"/>
      <w:sz w:val="20"/>
      <w:lang w:eastAsia="en-US" w:bidi="ar-SA"/>
    </w:rPr>
  </w:style>
  <w:style w:type="character" w:styleId="PlaceholderText">
    <w:name w:val="Placeholder Text"/>
    <w:basedOn w:val="DefaultParagraphFont"/>
    <w:uiPriority w:val="99"/>
    <w:semiHidden/>
    <w:rsid w:val="00AC167C"/>
    <w:rPr>
      <w:color w:val="808080"/>
    </w:rPr>
  </w:style>
  <w:style w:type="paragraph" w:styleId="FootnoteText">
    <w:name w:val="footnote text"/>
    <w:basedOn w:val="Normal"/>
    <w:link w:val="FootnoteTextChar"/>
    <w:uiPriority w:val="99"/>
    <w:semiHidden/>
    <w:unhideWhenUsed/>
    <w:rsid w:val="002C4000"/>
    <w:pPr>
      <w:spacing w:after="0" w:line="240" w:lineRule="auto"/>
    </w:pPr>
    <w:rPr>
      <w:rFonts w:cs="Angsana New"/>
      <w:sz w:val="20"/>
      <w:szCs w:val="25"/>
    </w:rPr>
  </w:style>
  <w:style w:type="character" w:customStyle="1" w:styleId="FootnoteTextChar">
    <w:name w:val="Footnote Text Char"/>
    <w:basedOn w:val="DefaultParagraphFont"/>
    <w:link w:val="FootnoteText"/>
    <w:uiPriority w:val="99"/>
    <w:semiHidden/>
    <w:rsid w:val="002C4000"/>
    <w:rPr>
      <w:rFonts w:cs="Angsana New"/>
      <w:sz w:val="20"/>
      <w:szCs w:val="25"/>
    </w:rPr>
  </w:style>
  <w:style w:type="character" w:styleId="FootnoteReference">
    <w:name w:val="footnote reference"/>
    <w:basedOn w:val="DefaultParagraphFont"/>
    <w:uiPriority w:val="99"/>
    <w:semiHidden/>
    <w:unhideWhenUsed/>
    <w:rsid w:val="002C4000"/>
    <w:rPr>
      <w:vertAlign w:val="superscript"/>
    </w:rPr>
  </w:style>
  <w:style w:type="paragraph" w:styleId="PlainText">
    <w:name w:val="Plain Text"/>
    <w:basedOn w:val="Normal"/>
    <w:link w:val="PlainTextChar"/>
    <w:rsid w:val="001706CE"/>
    <w:pPr>
      <w:spacing w:after="0" w:line="240" w:lineRule="auto"/>
    </w:pPr>
    <w:rPr>
      <w:rFonts w:ascii="Courier New" w:eastAsia="Times New Roman" w:hAnsi="Courier New" w:cs="Courier New"/>
      <w:sz w:val="20"/>
      <w:szCs w:val="20"/>
      <w:lang w:eastAsia="en-US" w:bidi="ar-SA"/>
    </w:rPr>
  </w:style>
  <w:style w:type="character" w:customStyle="1" w:styleId="PlainTextChar">
    <w:name w:val="Plain Text Char"/>
    <w:basedOn w:val="DefaultParagraphFont"/>
    <w:link w:val="PlainText"/>
    <w:rsid w:val="001706CE"/>
    <w:rPr>
      <w:rFonts w:ascii="Courier New" w:eastAsia="Times New Roman" w:hAnsi="Courier New" w:cs="Courier New"/>
      <w:sz w:val="20"/>
      <w:szCs w:val="20"/>
      <w:lang w:eastAsia="en-US" w:bidi="ar-SA"/>
    </w:rPr>
  </w:style>
  <w:style w:type="character" w:styleId="FollowedHyperlink">
    <w:name w:val="FollowedHyperlink"/>
    <w:basedOn w:val="DefaultParagraphFont"/>
    <w:uiPriority w:val="99"/>
    <w:semiHidden/>
    <w:unhideWhenUsed/>
    <w:rsid w:val="00B14E8B"/>
    <w:rPr>
      <w:color w:val="800080" w:themeColor="followedHyperlink"/>
      <w:u w:val="single"/>
    </w:rPr>
  </w:style>
  <w:style w:type="paragraph" w:customStyle="1" w:styleId="Heading10">
    <w:name w:val="_Heading 1"/>
    <w:basedOn w:val="Heading1"/>
    <w:qFormat/>
    <w:rsid w:val="0070470D"/>
    <w:pPr>
      <w:spacing w:after="0"/>
    </w:pPr>
    <w:rPr>
      <w:rFonts w:ascii="Trebuchet MS" w:eastAsiaTheme="majorEastAsia" w:hAnsi="Trebuchet MS" w:cstheme="majorBidi"/>
      <w:bCs/>
      <w:color w:val="548DD4" w:themeColor="text2" w:themeTint="99"/>
      <w:sz w:val="28"/>
      <w:szCs w:val="28"/>
      <w:lang w:eastAsia="en-US" w:bidi="ar-SA"/>
    </w:rPr>
  </w:style>
  <w:style w:type="table" w:styleId="TableGrid">
    <w:name w:val="Table Grid"/>
    <w:basedOn w:val="TableNormal"/>
    <w:uiPriority w:val="39"/>
    <w:rsid w:val="0070470D"/>
    <w:pPr>
      <w:spacing w:after="0" w:line="240" w:lineRule="auto"/>
    </w:pPr>
    <w:rPr>
      <w:rFonts w:asciiTheme="minorHAnsi" w:eastAsiaTheme="minorHAnsi" w:hAnsiTheme="minorHAnsi" w:cstheme="minorBidi"/>
      <w:lang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Indent">
    <w:name w:val="Normal Indent"/>
    <w:basedOn w:val="Normal"/>
    <w:link w:val="NormalIndentChar"/>
    <w:rsid w:val="008A69B7"/>
    <w:pPr>
      <w:tabs>
        <w:tab w:val="left" w:pos="432"/>
      </w:tabs>
      <w:spacing w:after="0" w:line="240" w:lineRule="auto"/>
      <w:ind w:left="432"/>
    </w:pPr>
    <w:rPr>
      <w:rFonts w:ascii="Arial" w:eastAsia="Times New Roman" w:hAnsi="Arial" w:cs="Times New Roman"/>
      <w:sz w:val="20"/>
      <w:szCs w:val="24"/>
      <w:lang w:eastAsia="en-US" w:bidi="ar-SA"/>
    </w:rPr>
  </w:style>
  <w:style w:type="character" w:customStyle="1" w:styleId="NormalIndentChar">
    <w:name w:val="Normal Indent Char"/>
    <w:link w:val="NormalIndent"/>
    <w:rsid w:val="008A69B7"/>
    <w:rPr>
      <w:rFonts w:ascii="Arial" w:eastAsia="Times New Roman" w:hAnsi="Arial" w:cs="Times New Roman"/>
      <w:sz w:val="20"/>
      <w:szCs w:val="24"/>
      <w:lang w:eastAsia="en-US" w:bidi="ar-SA"/>
    </w:rPr>
  </w:style>
  <w:style w:type="character" w:customStyle="1" w:styleId="TitleChar">
    <w:name w:val="Title Char"/>
    <w:basedOn w:val="DefaultParagraphFont"/>
    <w:link w:val="Title"/>
    <w:rsid w:val="00887F58"/>
    <w:rPr>
      <w:b/>
      <w:sz w:val="72"/>
      <w:szCs w:val="72"/>
    </w:rPr>
  </w:style>
  <w:style w:type="paragraph" w:styleId="NoSpacing">
    <w:name w:val="No Spacing"/>
    <w:uiPriority w:val="1"/>
    <w:qFormat/>
    <w:rsid w:val="00304628"/>
    <w:pPr>
      <w:spacing w:after="0" w:line="240" w:lineRule="auto"/>
    </w:pPr>
    <w:rPr>
      <w:rFonts w:ascii="Times New Roman" w:eastAsiaTheme="minorHAnsi" w:hAnsi="Times New Roman" w:cstheme="minorBidi"/>
      <w:sz w:val="24"/>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5359351">
      <w:bodyDiv w:val="1"/>
      <w:marLeft w:val="0"/>
      <w:marRight w:val="0"/>
      <w:marTop w:val="0"/>
      <w:marBottom w:val="0"/>
      <w:divBdr>
        <w:top w:val="none" w:sz="0" w:space="0" w:color="auto"/>
        <w:left w:val="none" w:sz="0" w:space="0" w:color="auto"/>
        <w:bottom w:val="none" w:sz="0" w:space="0" w:color="auto"/>
        <w:right w:val="none" w:sz="0" w:space="0" w:color="auto"/>
      </w:divBdr>
    </w:div>
    <w:div w:id="856041602">
      <w:bodyDiv w:val="1"/>
      <w:marLeft w:val="0"/>
      <w:marRight w:val="0"/>
      <w:marTop w:val="0"/>
      <w:marBottom w:val="0"/>
      <w:divBdr>
        <w:top w:val="none" w:sz="0" w:space="0" w:color="auto"/>
        <w:left w:val="none" w:sz="0" w:space="0" w:color="auto"/>
        <w:bottom w:val="none" w:sz="0" w:space="0" w:color="auto"/>
        <w:right w:val="none" w:sz="0" w:space="0" w:color="auto"/>
      </w:divBdr>
      <w:divsChild>
        <w:div w:id="68845194">
          <w:marLeft w:val="0"/>
          <w:marRight w:val="0"/>
          <w:marTop w:val="0"/>
          <w:marBottom w:val="0"/>
          <w:divBdr>
            <w:top w:val="none" w:sz="0" w:space="0" w:color="auto"/>
            <w:left w:val="none" w:sz="0" w:space="0" w:color="auto"/>
            <w:bottom w:val="none" w:sz="0" w:space="0" w:color="auto"/>
            <w:right w:val="none" w:sz="0" w:space="0" w:color="auto"/>
          </w:divBdr>
          <w:divsChild>
            <w:div w:id="4140545">
              <w:marLeft w:val="0"/>
              <w:marRight w:val="0"/>
              <w:marTop w:val="0"/>
              <w:marBottom w:val="0"/>
              <w:divBdr>
                <w:top w:val="none" w:sz="0" w:space="0" w:color="auto"/>
                <w:left w:val="none" w:sz="0" w:space="0" w:color="auto"/>
                <w:bottom w:val="none" w:sz="0" w:space="0" w:color="auto"/>
                <w:right w:val="none" w:sz="0" w:space="0" w:color="auto"/>
              </w:divBdr>
              <w:divsChild>
                <w:div w:id="190468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649352">
      <w:bodyDiv w:val="1"/>
      <w:marLeft w:val="0"/>
      <w:marRight w:val="0"/>
      <w:marTop w:val="0"/>
      <w:marBottom w:val="0"/>
      <w:divBdr>
        <w:top w:val="none" w:sz="0" w:space="0" w:color="auto"/>
        <w:left w:val="none" w:sz="0" w:space="0" w:color="auto"/>
        <w:bottom w:val="none" w:sz="0" w:space="0" w:color="auto"/>
        <w:right w:val="none" w:sz="0" w:space="0" w:color="auto"/>
      </w:divBdr>
    </w:div>
    <w:div w:id="1625577644">
      <w:bodyDiv w:val="1"/>
      <w:marLeft w:val="0"/>
      <w:marRight w:val="0"/>
      <w:marTop w:val="0"/>
      <w:marBottom w:val="0"/>
      <w:divBdr>
        <w:top w:val="none" w:sz="0" w:space="0" w:color="auto"/>
        <w:left w:val="none" w:sz="0" w:space="0" w:color="auto"/>
        <w:bottom w:val="none" w:sz="0" w:space="0" w:color="auto"/>
        <w:right w:val="none" w:sz="0" w:space="0" w:color="auto"/>
      </w:divBdr>
    </w:div>
    <w:div w:id="1804620592">
      <w:bodyDiv w:val="1"/>
      <w:marLeft w:val="0"/>
      <w:marRight w:val="0"/>
      <w:marTop w:val="0"/>
      <w:marBottom w:val="0"/>
      <w:divBdr>
        <w:top w:val="none" w:sz="0" w:space="0" w:color="auto"/>
        <w:left w:val="none" w:sz="0" w:space="0" w:color="auto"/>
        <w:bottom w:val="none" w:sz="0" w:space="0" w:color="auto"/>
        <w:right w:val="none" w:sz="0" w:space="0" w:color="auto"/>
      </w:divBdr>
    </w:div>
    <w:div w:id="21103468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f6nvKcX+wyeowrvb4EOAX2vYA0A==">AMUW2mVXMAnjPIaoybd9Bm+maLJ/hB2G1cJQseLNdAPNEn+ydrgLsd8MHrmWVbT1KE4pd/Xb+zUrmIGoPp0P3AJNTP96LXHbEhdckpTToVgEHmNChl/oPzdTe1XQz+zeO//KbSuIOjzx</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582</Words>
  <Characters>3319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Personnel Security Policy</vt:lpstr>
    </vt:vector>
  </TitlesOfParts>
  <Company>Royalty Exchange</Company>
  <LinksUpToDate>false</LinksUpToDate>
  <CharactersWithSpaces>3894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Personnel Security Policy</dc:title>
  <dc:creator>Jeff</dc:creator>
  <cp:lastModifiedBy>David Veksler</cp:lastModifiedBy>
  <cp:revision>3</cp:revision>
  <dcterms:created xsi:type="dcterms:W3CDTF">2021-05-28T22:53:00Z</dcterms:created>
  <dcterms:modified xsi:type="dcterms:W3CDTF">2021-05-28T22:54:00Z</dcterms:modified>
</cp:coreProperties>
</file>