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5FA4F" w14:textId="77777777" w:rsidR="00B57B40" w:rsidRPr="00104D6B" w:rsidRDefault="00B57B40" w:rsidP="00B57B40">
      <w:pPr>
        <w:jc w:val="center"/>
        <w:rPr>
          <w:rFonts w:ascii="Arial" w:hAnsi="Arial" w:cs="Arial"/>
          <w:b/>
          <w:sz w:val="28"/>
          <w:szCs w:val="28"/>
        </w:rPr>
      </w:pPr>
      <w:r w:rsidRPr="00E81CE4">
        <w:rPr>
          <w:rFonts w:ascii="Arial" w:eastAsia="MS Mincho" w:hAnsi="Arial" w:cs="Arial"/>
          <w:b/>
          <w:bCs/>
          <w:sz w:val="28"/>
          <w:szCs w:val="28"/>
        </w:rPr>
        <w:t>Virtual Private Network (VPN)</w:t>
      </w:r>
      <w:r>
        <w:rPr>
          <w:rFonts w:eastAsia="MS Mincho" w:cs="Times New Roman"/>
          <w:b/>
          <w:bCs/>
        </w:rPr>
        <w:t xml:space="preserve"> </w:t>
      </w:r>
      <w:r>
        <w:rPr>
          <w:rFonts w:ascii="Arial" w:hAnsi="Arial" w:cs="Arial"/>
          <w:b/>
          <w:sz w:val="28"/>
          <w:szCs w:val="28"/>
        </w:rPr>
        <w:t>Policy</w:t>
      </w:r>
    </w:p>
    <w:p w14:paraId="29C0D710" w14:textId="77777777" w:rsidR="00B57B40" w:rsidRDefault="00B57B40" w:rsidP="00B57B40">
      <w:pPr>
        <w:pStyle w:val="Heading1"/>
        <w:numPr>
          <w:ilvl w:val="0"/>
          <w:numId w:val="1"/>
        </w:numPr>
        <w:spacing w:before="0"/>
      </w:pPr>
      <w:r>
        <w:t>Overview</w:t>
      </w:r>
    </w:p>
    <w:p w14:paraId="66075362" w14:textId="77777777" w:rsidR="00B57B40" w:rsidRPr="003B6BD8" w:rsidRDefault="00B57B40" w:rsidP="00B57B40">
      <w:r>
        <w:t>See Purpose.</w:t>
      </w:r>
    </w:p>
    <w:p w14:paraId="4216B6E2" w14:textId="77777777" w:rsidR="00B57B40" w:rsidRDefault="00B57B40" w:rsidP="00B57B40">
      <w:pPr>
        <w:pStyle w:val="Heading1"/>
        <w:numPr>
          <w:ilvl w:val="0"/>
          <w:numId w:val="1"/>
        </w:numPr>
        <w:spacing w:before="0"/>
      </w:pPr>
      <w:r>
        <w:t>Purpose</w:t>
      </w:r>
    </w:p>
    <w:p w14:paraId="7C72E599" w14:textId="795F862F" w:rsidR="00B57B40" w:rsidRDefault="00B57B40" w:rsidP="00B57B40">
      <w:pPr>
        <w:pStyle w:val="PlainText"/>
        <w:rPr>
          <w:rFonts w:ascii="Times New Roman" w:eastAsia="MS Mincho" w:hAnsi="Times New Roman" w:cs="Times New Roman"/>
          <w:sz w:val="24"/>
          <w:szCs w:val="24"/>
        </w:rPr>
      </w:pPr>
      <w:r>
        <w:t xml:space="preserve">The purpose of this policy is to provide guidelines for Remote Access IPSec or L2TP Virtual Private Network (VPN) connections to the [Company Name] corporate network. </w:t>
      </w:r>
    </w:p>
    <w:p w14:paraId="5EDF1531" w14:textId="77777777" w:rsidR="00B57B40" w:rsidRPr="00E81CE4" w:rsidRDefault="00B57B40" w:rsidP="00B57B40">
      <w:pPr>
        <w:pStyle w:val="PlainText"/>
        <w:rPr>
          <w:rFonts w:ascii="Times New Roman" w:eastAsia="MS Mincho" w:hAnsi="Times New Roman" w:cs="Times New Roman"/>
          <w:sz w:val="24"/>
          <w:szCs w:val="24"/>
        </w:rPr>
      </w:pPr>
    </w:p>
    <w:p w14:paraId="2F3CE752" w14:textId="77777777" w:rsidR="00B57B40" w:rsidRDefault="00B57B40" w:rsidP="00B57B40">
      <w:pPr>
        <w:pStyle w:val="Heading1"/>
        <w:numPr>
          <w:ilvl w:val="0"/>
          <w:numId w:val="1"/>
        </w:numPr>
        <w:spacing w:before="0"/>
      </w:pPr>
      <w:r>
        <w:t>Scope</w:t>
      </w:r>
    </w:p>
    <w:p w14:paraId="4E830B8E" w14:textId="46741353" w:rsidR="00B57B40" w:rsidRDefault="00B57B40" w:rsidP="00B57B40">
      <w:pPr>
        <w:pStyle w:val="PlainText"/>
        <w:rPr>
          <w:rFonts w:ascii="Times New Roman" w:eastAsia="MS Mincho" w:hAnsi="Times New Roman" w:cs="Times New Roman"/>
          <w:sz w:val="24"/>
          <w:szCs w:val="24"/>
        </w:rPr>
      </w:pPr>
      <w:r>
        <w:t xml:space="preserve">This policy applies to all [Company Name] employees, contractors, consultants, temporaries, and other workers including all personnel affiliated with third parties utilizing VPNs to access the [Company Name] network. This policy applies to implementations of VPN that are directed through an IPSec Concentrator. </w:t>
      </w:r>
    </w:p>
    <w:p w14:paraId="145F2D77" w14:textId="77777777" w:rsidR="00B57B40" w:rsidRPr="00E81CE4" w:rsidRDefault="00B57B40" w:rsidP="00B57B40">
      <w:pPr>
        <w:pStyle w:val="PlainText"/>
        <w:rPr>
          <w:rFonts w:ascii="Times New Roman" w:eastAsia="MS Mincho" w:hAnsi="Times New Roman" w:cs="Times New Roman"/>
          <w:sz w:val="24"/>
          <w:szCs w:val="24"/>
        </w:rPr>
      </w:pPr>
    </w:p>
    <w:p w14:paraId="225FF0C5" w14:textId="77777777" w:rsidR="00B57B40" w:rsidRDefault="00B57B40" w:rsidP="00B57B40">
      <w:pPr>
        <w:pStyle w:val="Heading1"/>
        <w:numPr>
          <w:ilvl w:val="0"/>
          <w:numId w:val="1"/>
        </w:numPr>
        <w:spacing w:before="0"/>
      </w:pPr>
      <w:r>
        <w:t>Policy</w:t>
      </w:r>
    </w:p>
    <w:p w14:paraId="55A4746E" w14:textId="045BA253" w:rsidR="00B57B40" w:rsidRPr="00E81CE4" w:rsidRDefault="00B57B40" w:rsidP="00B57B40">
      <w:pPr>
        <w:pStyle w:val="PlainText"/>
        <w:rPr>
          <w:rFonts w:ascii="Times New Roman" w:eastAsia="MS Mincho" w:hAnsi="Times New Roman" w:cs="Times New Roman"/>
          <w:sz w:val="24"/>
          <w:szCs w:val="24"/>
        </w:rPr>
      </w:pPr>
      <w:r>
        <w:t xml:space="preserve">Approved [Company Name] employees and authorized third parties (customers, vendors, etc.) may utilize the benefits of VPNs, which are a "user managed" service. This means that the user is responsible for selecting an Internet Service Provider (ISP), coordinating installation, installing any required software, and paying associated fees. Further details may be found in the Remote Access Policy. </w:t>
      </w:r>
    </w:p>
    <w:p w14:paraId="21138903" w14:textId="77777777" w:rsidR="00B57B40" w:rsidRPr="00E81CE4" w:rsidRDefault="00B57B40" w:rsidP="00B57B40">
      <w:pPr>
        <w:pStyle w:val="PlainText"/>
        <w:rPr>
          <w:rFonts w:ascii="Times New Roman" w:eastAsia="MS Mincho" w:hAnsi="Times New Roman" w:cs="Times New Roman"/>
          <w:sz w:val="24"/>
          <w:szCs w:val="24"/>
        </w:rPr>
      </w:pPr>
    </w:p>
    <w:p w14:paraId="057C04E5" w14:textId="77777777" w:rsidR="00B57B40" w:rsidRPr="00E81CE4" w:rsidRDefault="00B57B40" w:rsidP="00B57B40">
      <w:pPr>
        <w:pStyle w:val="PlainText"/>
        <w:rPr>
          <w:rFonts w:ascii="Times New Roman" w:eastAsia="MS Mincho" w:hAnsi="Times New Roman" w:cs="Times New Roman"/>
          <w:sz w:val="24"/>
          <w:szCs w:val="24"/>
        </w:rPr>
      </w:pPr>
      <w:r w:rsidRPr="00E81CE4">
        <w:rPr>
          <w:rFonts w:ascii="Times New Roman" w:eastAsia="MS Mincho" w:hAnsi="Times New Roman" w:cs="Times New Roman"/>
          <w:sz w:val="24"/>
          <w:szCs w:val="24"/>
        </w:rPr>
        <w:t>Additionally,</w:t>
      </w:r>
    </w:p>
    <w:p w14:paraId="01D47FA4" w14:textId="1CA37694"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t xml:space="preserve">It is the responsibility of employees with VPN privileges to ensure that unauthorized users are not allowed access to [Company Name] internal networks. </w:t>
      </w:r>
    </w:p>
    <w:p w14:paraId="50315DC4" w14:textId="77777777"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VPN use is to </w:t>
      </w:r>
      <w:proofErr w:type="gramStart"/>
      <w:r w:rsidRPr="00E81CE4">
        <w:rPr>
          <w:rFonts w:ascii="Times New Roman" w:eastAsia="MS Mincho" w:hAnsi="Times New Roman" w:cs="Times New Roman"/>
          <w:sz w:val="24"/>
          <w:szCs w:val="24"/>
        </w:rPr>
        <w:t>be controlled</w:t>
      </w:r>
      <w:proofErr w:type="gramEnd"/>
      <w:r w:rsidRPr="00E81CE4">
        <w:rPr>
          <w:rFonts w:ascii="Times New Roman" w:eastAsia="MS Mincho" w:hAnsi="Times New Roman" w:cs="Times New Roman"/>
          <w:sz w:val="24"/>
          <w:szCs w:val="24"/>
        </w:rPr>
        <w:t xml:space="preserve"> using either a one-time password authentication such as a token device or a public/private key system with a strong passphrase. </w:t>
      </w:r>
    </w:p>
    <w:p w14:paraId="10E701F9" w14:textId="77777777"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When actively connected to the corporate network, VPNs will force all traffic to and from the PC over the VPN tunnel: all other traffic will </w:t>
      </w:r>
      <w:proofErr w:type="gramStart"/>
      <w:r w:rsidRPr="00E81CE4">
        <w:rPr>
          <w:rFonts w:ascii="Times New Roman" w:eastAsia="MS Mincho" w:hAnsi="Times New Roman" w:cs="Times New Roman"/>
          <w:sz w:val="24"/>
          <w:szCs w:val="24"/>
        </w:rPr>
        <w:t>be dropped</w:t>
      </w:r>
      <w:proofErr w:type="gramEnd"/>
      <w:r w:rsidRPr="00E81CE4">
        <w:rPr>
          <w:rFonts w:ascii="Times New Roman" w:eastAsia="MS Mincho" w:hAnsi="Times New Roman" w:cs="Times New Roman"/>
          <w:sz w:val="24"/>
          <w:szCs w:val="24"/>
        </w:rPr>
        <w:t xml:space="preserve">. </w:t>
      </w:r>
    </w:p>
    <w:p w14:paraId="094368CE" w14:textId="77777777"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Dual (split) tunneling </w:t>
      </w:r>
      <w:proofErr w:type="gramStart"/>
      <w:r w:rsidRPr="00E81CE4">
        <w:rPr>
          <w:rFonts w:ascii="Times New Roman" w:eastAsia="MS Mincho" w:hAnsi="Times New Roman" w:cs="Times New Roman"/>
          <w:sz w:val="24"/>
          <w:szCs w:val="24"/>
        </w:rPr>
        <w:t>is NOT permitted</w:t>
      </w:r>
      <w:proofErr w:type="gramEnd"/>
      <w:r w:rsidRPr="00E81CE4">
        <w:rPr>
          <w:rFonts w:ascii="Times New Roman" w:eastAsia="MS Mincho" w:hAnsi="Times New Roman" w:cs="Times New Roman"/>
          <w:sz w:val="24"/>
          <w:szCs w:val="24"/>
        </w:rPr>
        <w:t xml:space="preserve">; only one network connection is allowed. </w:t>
      </w:r>
    </w:p>
    <w:p w14:paraId="7A1854EA" w14:textId="5CFE8CC2"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t xml:space="preserve">VPN gateways will be set up and managed by [Company Name] network operational groups. </w:t>
      </w:r>
    </w:p>
    <w:p w14:paraId="127E8A0D" w14:textId="181D96E5"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t xml:space="preserve">All computers connected to [Company Name] internal networks via VPN or any other technology must use the most up-to-date anti-virus software that is the corporate standard (provide URL to this software); this includes personal computers. </w:t>
      </w:r>
    </w:p>
    <w:p w14:paraId="1B82BDB6" w14:textId="25D476EB"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t xml:space="preserve">VPN users will be automatically disconnected from [Company Name]'s network after thirty minutes of inactivity. The user must then logon again to reconnect to the network. Pings or other artificial network processes are not to be used to keep the connection open. </w:t>
      </w:r>
    </w:p>
    <w:p w14:paraId="01B4B04F" w14:textId="77777777"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rsidRPr="00E81CE4">
        <w:rPr>
          <w:rFonts w:ascii="Times New Roman" w:eastAsia="MS Mincho" w:hAnsi="Times New Roman" w:cs="Times New Roman"/>
          <w:sz w:val="24"/>
          <w:szCs w:val="24"/>
        </w:rPr>
        <w:t xml:space="preserve">The VPN concentrator </w:t>
      </w:r>
      <w:proofErr w:type="gramStart"/>
      <w:r w:rsidRPr="00E81CE4">
        <w:rPr>
          <w:rFonts w:ascii="Times New Roman" w:eastAsia="MS Mincho" w:hAnsi="Times New Roman" w:cs="Times New Roman"/>
          <w:sz w:val="24"/>
          <w:szCs w:val="24"/>
        </w:rPr>
        <w:t>is limited</w:t>
      </w:r>
      <w:proofErr w:type="gramEnd"/>
      <w:r w:rsidRPr="00E81CE4">
        <w:rPr>
          <w:rFonts w:ascii="Times New Roman" w:eastAsia="MS Mincho" w:hAnsi="Times New Roman" w:cs="Times New Roman"/>
          <w:sz w:val="24"/>
          <w:szCs w:val="24"/>
        </w:rPr>
        <w:t xml:space="preserve"> to an absolute connection time of 24 hours. </w:t>
      </w:r>
    </w:p>
    <w:p w14:paraId="0BDC7B3A" w14:textId="26F4075C"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t xml:space="preserve">Users of computers that are not [Company Name]-owned equipment must configure the equipment to comply with [Company Name]'s VPN and Network policies. </w:t>
      </w:r>
    </w:p>
    <w:p w14:paraId="24702037" w14:textId="77777777"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rPr>
          <w:rFonts w:ascii="Times New Roman" w:eastAsia="MS Mincho" w:hAnsi="Times New Roman" w:cs="Times New Roman"/>
          <w:sz w:val="24"/>
          <w:szCs w:val="24"/>
        </w:rPr>
        <w:t>Only Infos</w:t>
      </w:r>
      <w:r w:rsidRPr="00E81CE4">
        <w:rPr>
          <w:rFonts w:ascii="Times New Roman" w:eastAsia="MS Mincho" w:hAnsi="Times New Roman" w:cs="Times New Roman"/>
          <w:sz w:val="24"/>
          <w:szCs w:val="24"/>
        </w:rPr>
        <w:t xml:space="preserve">ec-approved VPN clients may </w:t>
      </w:r>
      <w:proofErr w:type="gramStart"/>
      <w:r w:rsidRPr="00E81CE4">
        <w:rPr>
          <w:rFonts w:ascii="Times New Roman" w:eastAsia="MS Mincho" w:hAnsi="Times New Roman" w:cs="Times New Roman"/>
          <w:sz w:val="24"/>
          <w:szCs w:val="24"/>
        </w:rPr>
        <w:t>be used</w:t>
      </w:r>
      <w:proofErr w:type="gramEnd"/>
      <w:r w:rsidRPr="00E81CE4">
        <w:rPr>
          <w:rFonts w:ascii="Times New Roman" w:eastAsia="MS Mincho" w:hAnsi="Times New Roman" w:cs="Times New Roman"/>
          <w:sz w:val="24"/>
          <w:szCs w:val="24"/>
        </w:rPr>
        <w:t xml:space="preserve">. </w:t>
      </w:r>
    </w:p>
    <w:p w14:paraId="7C9094AA" w14:textId="2325B908" w:rsidR="00B57B40" w:rsidRPr="00E81CE4" w:rsidRDefault="00B57B40" w:rsidP="00B57B40">
      <w:pPr>
        <w:pStyle w:val="PlainText"/>
        <w:numPr>
          <w:ilvl w:val="0"/>
          <w:numId w:val="20"/>
        </w:numPr>
        <w:spacing w:after="240"/>
        <w:rPr>
          <w:rFonts w:ascii="Times New Roman" w:eastAsia="MS Mincho" w:hAnsi="Times New Roman" w:cs="Times New Roman"/>
          <w:sz w:val="24"/>
          <w:szCs w:val="24"/>
        </w:rPr>
      </w:pPr>
      <w:r>
        <w:t xml:space="preserve">By using VPN technology with personal equipment, users must understand that their machines are a de facto extension of [Company Name]'s network, and as such are subject to the same rules and regulations that apply to [Company Name]-owned equipment, i.e., their machines must be configured to comply with Infosec's Security Policies. </w:t>
      </w:r>
    </w:p>
    <w:p w14:paraId="51A445A4" w14:textId="77777777" w:rsidR="00B57B40" w:rsidRDefault="00B57B40" w:rsidP="00B57B40">
      <w:pPr>
        <w:pStyle w:val="Heading1"/>
        <w:numPr>
          <w:ilvl w:val="0"/>
          <w:numId w:val="1"/>
        </w:numPr>
        <w:spacing w:before="0"/>
      </w:pPr>
      <w:r>
        <w:t>Policy Compliance</w:t>
      </w:r>
    </w:p>
    <w:p w14:paraId="26107AD3" w14:textId="77777777" w:rsidR="00B57B40" w:rsidRPr="00B96A66" w:rsidRDefault="00B57B40" w:rsidP="00B57B40">
      <w:pPr>
        <w:pStyle w:val="ListParagraph"/>
        <w:numPr>
          <w:ilvl w:val="1"/>
          <w:numId w:val="2"/>
        </w:numPr>
        <w:ind w:left="360"/>
        <w:rPr>
          <w:rFonts w:cs="Times New Roman"/>
          <w:szCs w:val="24"/>
        </w:rPr>
      </w:pPr>
      <w:r w:rsidRPr="00B96A66">
        <w:rPr>
          <w:rFonts w:cs="Times New Roman"/>
          <w:szCs w:val="24"/>
        </w:rPr>
        <w:t>Compliance Measurement</w:t>
      </w:r>
    </w:p>
    <w:p w14:paraId="6144A6C0" w14:textId="77777777" w:rsidR="00B57B40" w:rsidRPr="001C31CD" w:rsidRDefault="00B57B40" w:rsidP="00B57B40">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Pr>
          <w:rFonts w:cs="Times New Roman"/>
          <w:szCs w:val="24"/>
        </w:rPr>
        <w:t>periodic walk-</w:t>
      </w:r>
      <w:proofErr w:type="spellStart"/>
      <w:r>
        <w:rPr>
          <w:rFonts w:cs="Times New Roman"/>
          <w:szCs w:val="24"/>
        </w:rPr>
        <w:t>thrus</w:t>
      </w:r>
      <w:proofErr w:type="spellEnd"/>
      <w:r>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21BDF323" w14:textId="77777777" w:rsidR="00B57B40" w:rsidRDefault="00B57B40" w:rsidP="00B57B40">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Exceptions</w:t>
      </w:r>
    </w:p>
    <w:p w14:paraId="0F2541F6" w14:textId="77777777" w:rsidR="00B57B40" w:rsidRPr="001C31CD" w:rsidRDefault="00B57B40" w:rsidP="00B57B40">
      <w:pPr>
        <w:pStyle w:val="ListParagraph"/>
        <w:ind w:left="0"/>
        <w:rPr>
          <w:rFonts w:cs="Times New Roman"/>
          <w:szCs w:val="24"/>
        </w:rPr>
      </w:pPr>
      <w:r w:rsidRPr="00F72060">
        <w:rPr>
          <w:rFonts w:cs="Times New Roman"/>
          <w:szCs w:val="24"/>
        </w:rPr>
        <w:t xml:space="preserve">Any exception to the policy must </w:t>
      </w:r>
      <w:proofErr w:type="gramStart"/>
      <w:r w:rsidRPr="00F72060">
        <w:rPr>
          <w:rFonts w:cs="Times New Roman"/>
          <w:szCs w:val="24"/>
        </w:rPr>
        <w:t>be approved</w:t>
      </w:r>
      <w:proofErr w:type="gramEnd"/>
      <w:r w:rsidRPr="00F72060">
        <w:rPr>
          <w:rFonts w:cs="Times New Roman"/>
          <w:szCs w:val="24"/>
        </w:rPr>
        <w:t xml:space="preserve"> by the </w:t>
      </w:r>
      <w:r>
        <w:rPr>
          <w:rFonts w:cs="Times New Roman"/>
          <w:szCs w:val="24"/>
        </w:rPr>
        <w:t>Infosec T</w:t>
      </w:r>
      <w:r w:rsidRPr="00F72060">
        <w:rPr>
          <w:rFonts w:cs="Times New Roman"/>
          <w:szCs w:val="24"/>
        </w:rPr>
        <w:t xml:space="preserve">eam in advance. </w:t>
      </w:r>
    </w:p>
    <w:p w14:paraId="23602F58" w14:textId="77777777" w:rsidR="00B57B40" w:rsidRPr="001C31CD" w:rsidRDefault="00B57B40" w:rsidP="00B57B40">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Non-Compliance</w:t>
      </w:r>
    </w:p>
    <w:p w14:paraId="3C05068E" w14:textId="77777777" w:rsidR="00B57B40" w:rsidRPr="00B96A66" w:rsidRDefault="00B57B40" w:rsidP="00B57B40">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7D94948" w14:textId="77777777" w:rsidR="00B57B40" w:rsidRDefault="00B57B40" w:rsidP="00B57B40">
      <w:pPr>
        <w:pStyle w:val="Heading1"/>
        <w:numPr>
          <w:ilvl w:val="0"/>
          <w:numId w:val="2"/>
        </w:numPr>
        <w:ind w:left="1080"/>
      </w:pPr>
      <w:r>
        <w:t>Related Standards, Policies and Processes</w:t>
      </w:r>
    </w:p>
    <w:p w14:paraId="55DD24E0" w14:textId="77777777" w:rsidR="00B57B40" w:rsidRPr="00E81CE4" w:rsidRDefault="00B57B40" w:rsidP="00B57B40">
      <w:pPr>
        <w:pStyle w:val="ListParagraph"/>
        <w:numPr>
          <w:ilvl w:val="0"/>
          <w:numId w:val="19"/>
        </w:numPr>
        <w:spacing w:after="0"/>
      </w:pPr>
      <w:r w:rsidRPr="00E81CE4">
        <w:rPr>
          <w:rFonts w:eastAsia="MS Mincho" w:cs="Times New Roman"/>
          <w:iCs/>
          <w:szCs w:val="24"/>
        </w:rPr>
        <w:t>Remote Access Policy</w:t>
      </w:r>
    </w:p>
    <w:p w14:paraId="1FDC776C" w14:textId="77777777" w:rsidR="00B57B40" w:rsidRPr="00836569" w:rsidRDefault="00B57B40" w:rsidP="00B57B40">
      <w:pPr>
        <w:spacing w:after="0"/>
        <w:ind w:left="360"/>
      </w:pPr>
    </w:p>
    <w:p w14:paraId="67DE401A" w14:textId="77777777" w:rsidR="00B57B40" w:rsidRDefault="00B57B40" w:rsidP="00B57B40">
      <w:pPr>
        <w:pStyle w:val="Heading1"/>
        <w:numPr>
          <w:ilvl w:val="0"/>
          <w:numId w:val="2"/>
        </w:numPr>
        <w:spacing w:before="0"/>
        <w:ind w:left="1080"/>
      </w:pPr>
      <w:r>
        <w:t>Definitions and Terms</w:t>
      </w:r>
    </w:p>
    <w:p w14:paraId="544E056D" w14:textId="77777777" w:rsidR="00B57B40" w:rsidRPr="00CE6588" w:rsidRDefault="00B57B40" w:rsidP="00B57B40">
      <w:pPr>
        <w:spacing w:after="0"/>
        <w:rPr>
          <w:rFonts w:eastAsia="MS Mincho"/>
          <w:szCs w:val="24"/>
        </w:rPr>
      </w:pPr>
      <w:r w:rsidRPr="00CE6588">
        <w:rPr>
          <w:rFonts w:eastAsia="MS Mincho"/>
          <w:szCs w:val="24"/>
        </w:rPr>
        <w:t xml:space="preserve">The following definition and terms can </w:t>
      </w:r>
      <w:proofErr w:type="gramStart"/>
      <w:r w:rsidRPr="00CE6588">
        <w:rPr>
          <w:rFonts w:eastAsia="MS Mincho"/>
          <w:szCs w:val="24"/>
        </w:rPr>
        <w:t>be found</w:t>
      </w:r>
      <w:proofErr w:type="gramEnd"/>
      <w:r w:rsidRPr="00CE6588">
        <w:rPr>
          <w:rFonts w:eastAsia="MS Mincho"/>
          <w:szCs w:val="24"/>
        </w:rPr>
        <w:t xml:space="preserve"> in the SANS Glossary located at:</w:t>
      </w:r>
    </w:p>
    <w:p w14:paraId="50331A96" w14:textId="77777777" w:rsidR="00B57B40" w:rsidRDefault="00B57B40" w:rsidP="00B57B40">
      <w:pPr>
        <w:rPr>
          <w:rStyle w:val="Hyperlink"/>
          <w:rFonts w:eastAsia="MS Mincho"/>
          <w:szCs w:val="24"/>
        </w:rPr>
      </w:pPr>
      <w:hyperlink r:id="rId8" w:history="1">
        <w:r w:rsidRPr="00BA1654">
          <w:rPr>
            <w:rStyle w:val="Hyperlink"/>
            <w:rFonts w:eastAsia="MS Mincho"/>
            <w:szCs w:val="24"/>
          </w:rPr>
          <w:t>https://www.sans.org/security-resources/glossary-of-terms/</w:t>
        </w:r>
      </w:hyperlink>
    </w:p>
    <w:p w14:paraId="538FCD39" w14:textId="77777777" w:rsidR="00B57B40" w:rsidRPr="00E81CE4" w:rsidRDefault="00B57B40" w:rsidP="00B57B40">
      <w:pPr>
        <w:pStyle w:val="ListParagraph"/>
        <w:numPr>
          <w:ilvl w:val="0"/>
          <w:numId w:val="19"/>
        </w:numPr>
        <w:rPr>
          <w:rFonts w:eastAsia="MS Mincho"/>
          <w:szCs w:val="24"/>
        </w:rPr>
      </w:pPr>
      <w:proofErr w:type="spellStart"/>
      <w:r>
        <w:rPr>
          <w:rFonts w:eastAsia="MS Mincho" w:cs="Times New Roman"/>
        </w:rPr>
        <w:t>IPSec</w:t>
      </w:r>
      <w:proofErr w:type="spellEnd"/>
      <w:r>
        <w:rPr>
          <w:rFonts w:eastAsia="MS Mincho" w:cs="Times New Roman"/>
        </w:rPr>
        <w:t xml:space="preserve"> Concentrator</w:t>
      </w:r>
    </w:p>
    <w:p w14:paraId="4EC0F0A7" w14:textId="77777777" w:rsidR="00B57B40" w:rsidRDefault="00B57B40" w:rsidP="00B57B40">
      <w:pPr>
        <w:pStyle w:val="Heading1"/>
        <w:numPr>
          <w:ilvl w:val="0"/>
          <w:numId w:val="2"/>
        </w:numPr>
        <w:spacing w:before="0"/>
        <w:ind w:left="108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2"/>
        <w:gridCol w:w="2305"/>
        <w:gridCol w:w="5173"/>
      </w:tblGrid>
      <w:tr w:rsidR="00B57B40" w14:paraId="36A3092A"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ADD148D" w14:textId="77777777" w:rsidR="00B57B40" w:rsidRPr="00B96A66" w:rsidRDefault="00B57B40"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E6A55EA" w14:textId="77777777" w:rsidR="00B57B40" w:rsidRPr="00B96A66" w:rsidRDefault="00B57B40"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06ED30B" w14:textId="77777777" w:rsidR="00B57B40" w:rsidRPr="00B96A66" w:rsidRDefault="00B57B40"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B57B40" w14:paraId="5D2F408E"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7A364A1" w14:textId="77777777" w:rsidR="00B57B40" w:rsidRPr="00B96A66" w:rsidRDefault="00B57B40" w:rsidP="00805046">
            <w:pPr>
              <w:pStyle w:val="Heading1"/>
              <w:outlineLvl w:val="0"/>
              <w:rPr>
                <w:rFonts w:ascii="Times New Roman" w:hAnsi="Times New Roman" w:cs="Times New Roman"/>
                <w:sz w:val="24"/>
                <w:szCs w:val="24"/>
              </w:rPr>
            </w:pPr>
            <w:r>
              <w:rPr>
                <w:rFonts w:ascii="Times New Roman" w:hAnsi="Times New Roman" w:cs="Times New Roman"/>
                <w:sz w:val="24"/>
                <w:szCs w:val="24"/>
              </w:rPr>
              <w:t>July 2014</w:t>
            </w:r>
          </w:p>
        </w:tc>
        <w:tc>
          <w:tcPr>
            <w:tcW w:w="2340" w:type="dxa"/>
            <w:tcBorders>
              <w:left w:val="none" w:sz="0" w:space="0" w:color="auto"/>
              <w:bottom w:val="single" w:sz="4" w:space="0" w:color="000000" w:themeColor="text1"/>
              <w:right w:val="none" w:sz="0" w:space="0" w:color="auto"/>
            </w:tcBorders>
            <w:shd w:val="clear" w:color="auto" w:fill="auto"/>
          </w:tcPr>
          <w:p w14:paraId="425847A9" w14:textId="77777777" w:rsidR="00B57B40" w:rsidRPr="00B96A66" w:rsidRDefault="00B57B40"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sidRPr="00B96A66">
              <w:rPr>
                <w:rFonts w:ascii="Times New Roman" w:hAnsi="Times New Roman" w:cs="Times New Roman"/>
                <w:b w:val="0"/>
                <w:sz w:val="24"/>
                <w:szCs w:val="24"/>
              </w:rPr>
              <w:t>SANS Policy Team</w:t>
            </w:r>
          </w:p>
        </w:tc>
        <w:tc>
          <w:tcPr>
            <w:tcW w:w="5328" w:type="dxa"/>
            <w:tcBorders>
              <w:left w:val="none" w:sz="0" w:space="0" w:color="auto"/>
              <w:bottom w:val="single" w:sz="4" w:space="0" w:color="000000" w:themeColor="text1"/>
            </w:tcBorders>
            <w:shd w:val="clear" w:color="auto" w:fill="auto"/>
          </w:tcPr>
          <w:p w14:paraId="4FC1E9B2" w14:textId="77777777" w:rsidR="00B57B40" w:rsidRPr="00B96A66" w:rsidRDefault="00B57B40"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Converted to new format and retired</w:t>
            </w:r>
            <w:proofErr w:type="gramStart"/>
            <w:r>
              <w:rPr>
                <w:rFonts w:ascii="Times New Roman" w:hAnsi="Times New Roman" w:cs="Times New Roman"/>
                <w:b w:val="0"/>
                <w:sz w:val="24"/>
                <w:szCs w:val="24"/>
              </w:rPr>
              <w:t xml:space="preserve">.  </w:t>
            </w:r>
            <w:proofErr w:type="gramEnd"/>
            <w:r>
              <w:rPr>
                <w:rFonts w:ascii="Times New Roman" w:hAnsi="Times New Roman" w:cs="Times New Roman"/>
                <w:b w:val="0"/>
                <w:sz w:val="24"/>
                <w:szCs w:val="24"/>
              </w:rPr>
              <w:t xml:space="preserve">Relevant content </w:t>
            </w:r>
            <w:proofErr w:type="gramStart"/>
            <w:r>
              <w:rPr>
                <w:rFonts w:ascii="Times New Roman" w:hAnsi="Times New Roman" w:cs="Times New Roman"/>
                <w:b w:val="0"/>
                <w:sz w:val="24"/>
                <w:szCs w:val="24"/>
              </w:rPr>
              <w:t>add</w:t>
            </w:r>
            <w:proofErr w:type="gramEnd"/>
            <w:r>
              <w:rPr>
                <w:rFonts w:ascii="Times New Roman" w:hAnsi="Times New Roman" w:cs="Times New Roman"/>
                <w:b w:val="0"/>
                <w:sz w:val="24"/>
                <w:szCs w:val="24"/>
              </w:rPr>
              <w:t xml:space="preserve"> to the general Network Access Policy.</w:t>
            </w:r>
          </w:p>
        </w:tc>
      </w:tr>
      <w:tr w:rsidR="00B57B40" w14:paraId="3D89E072"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8CC8131" w14:textId="77777777" w:rsidR="00B57B40" w:rsidRDefault="00B57B40" w:rsidP="00805046">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58852D6F" w14:textId="77777777" w:rsidR="00B57B40" w:rsidRDefault="00B57B40" w:rsidP="00805046">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82CE640" w14:textId="77777777" w:rsidR="00B57B40" w:rsidRDefault="00B57B40" w:rsidP="00805046">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6D743BEB" w14:textId="77777777" w:rsidR="00B57B40" w:rsidRPr="00FD3519" w:rsidRDefault="00B57B40" w:rsidP="00B57B40"/>
    <w:p w14:paraId="00000002" w14:textId="77777777" w:rsidR="00EB11DA" w:rsidRPr="00B57B40" w:rsidRDefault="00EB11DA" w:rsidP="00B57B40"/>
    <w:sectPr w:rsidR="00EB11DA" w:rsidRPr="00B57B40">
      <w:headerReference w:type="default" r:id="rId9"/>
      <w:footerReference w:type="even" r:id="rId10"/>
      <w:footerReference w:type="default" r:id="rId11"/>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1E60E" w14:textId="77777777" w:rsidR="00EB7DFE" w:rsidRDefault="00EB7DFE">
      <w:pPr>
        <w:spacing w:after="0" w:line="240" w:lineRule="auto"/>
      </w:pPr>
      <w:r>
        <w:separator/>
      </w:r>
    </w:p>
  </w:endnote>
  <w:endnote w:type="continuationSeparator" w:id="0">
    <w:p w14:paraId="62A92BDE" w14:textId="77777777" w:rsidR="00EB7DFE" w:rsidRDefault="00EB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EB7DFE">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08FA2" w14:textId="77777777" w:rsidR="00EB7DFE" w:rsidRDefault="00EB7DFE">
      <w:pPr>
        <w:spacing w:after="0" w:line="240" w:lineRule="auto"/>
      </w:pPr>
      <w:r>
        <w:separator/>
      </w:r>
    </w:p>
  </w:footnote>
  <w:footnote w:type="continuationSeparator" w:id="0">
    <w:p w14:paraId="0EC73EFA" w14:textId="77777777" w:rsidR="00EB7DFE" w:rsidRDefault="00EB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EB7DFE">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5"/>
  </w:num>
  <w:num w:numId="3">
    <w:abstractNumId w:val="13"/>
  </w:num>
  <w:num w:numId="4">
    <w:abstractNumId w:val="3"/>
  </w:num>
  <w:num w:numId="5">
    <w:abstractNumId w:val="4"/>
  </w:num>
  <w:num w:numId="6">
    <w:abstractNumId w:val="12"/>
  </w:num>
  <w:num w:numId="7">
    <w:abstractNumId w:val="18"/>
  </w:num>
  <w:num w:numId="8">
    <w:abstractNumId w:val="8"/>
  </w:num>
  <w:num w:numId="9">
    <w:abstractNumId w:val="16"/>
  </w:num>
  <w:num w:numId="10">
    <w:abstractNumId w:val="0"/>
  </w:num>
  <w:num w:numId="11">
    <w:abstractNumId w:val="14"/>
  </w:num>
  <w:num w:numId="12">
    <w:abstractNumId w:val="11"/>
  </w:num>
  <w:num w:numId="13">
    <w:abstractNumId w:val="19"/>
  </w:num>
  <w:num w:numId="14">
    <w:abstractNumId w:val="9"/>
  </w:num>
  <w:num w:numId="15">
    <w:abstractNumId w:val="17"/>
  </w:num>
  <w:num w:numId="16">
    <w:abstractNumId w:val="6"/>
  </w:num>
  <w:num w:numId="17">
    <w:abstractNumId w:val="7"/>
  </w:num>
  <w:num w:numId="18">
    <w:abstractNumId w:val="2"/>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045D7"/>
    <w:rsid w:val="00130074"/>
    <w:rsid w:val="001706CE"/>
    <w:rsid w:val="00183119"/>
    <w:rsid w:val="002C4000"/>
    <w:rsid w:val="003A20ED"/>
    <w:rsid w:val="004C4788"/>
    <w:rsid w:val="00536151"/>
    <w:rsid w:val="00566876"/>
    <w:rsid w:val="0070470D"/>
    <w:rsid w:val="00AC167C"/>
    <w:rsid w:val="00AE2C80"/>
    <w:rsid w:val="00B14E8B"/>
    <w:rsid w:val="00B5347F"/>
    <w:rsid w:val="00B57B40"/>
    <w:rsid w:val="00C046E8"/>
    <w:rsid w:val="00D25C01"/>
    <w:rsid w:val="00D7436A"/>
    <w:rsid w:val="00E44E7E"/>
    <w:rsid w:val="00E817F2"/>
    <w:rsid w:val="00EB11DA"/>
    <w:rsid w:val="00EB7DF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glossary-of-ter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2</cp:revision>
  <dcterms:created xsi:type="dcterms:W3CDTF">2021-05-10T21:51:00Z</dcterms:created>
  <dcterms:modified xsi:type="dcterms:W3CDTF">2021-05-10T21:51:00Z</dcterms:modified>
</cp:coreProperties>
</file>