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BB056">
      <w:pPr>
        <w:widowControl w:val="0"/>
        <w:spacing w:after="0" w:line="560" w:lineRule="exact"/>
        <w:jc w:val="center"/>
      </w:pPr>
    </w:p>
    <w:p w14:paraId="0F43F421">
      <w:pPr>
        <w:widowControl w:val="0"/>
        <w:spacing w:after="0" w:line="560" w:lineRule="exact"/>
        <w:jc w:val="center"/>
        <w:rPr>
          <w:sz w:val="48"/>
          <w:szCs w:val="48"/>
          <w:lang w:eastAsia="zh-CN"/>
        </w:rPr>
      </w:pPr>
      <w:r>
        <w:rPr>
          <w:rFonts w:hint="eastAsia"/>
          <w:sz w:val="48"/>
          <w:lang w:eastAsia="zh-CN"/>
        </w:rPr>
        <w:t>智能管道能耗分析系统</w:t>
      </w:r>
    </w:p>
    <w:p w14:paraId="01B06318">
      <w:pPr>
        <w:widowControl w:val="0"/>
        <w:spacing w:after="0" w:line="560" w:lineRule="exact"/>
        <w:jc w:val="center"/>
      </w:pPr>
    </w:p>
    <w:p w14:paraId="3A8B1AFB">
      <w:pPr>
        <w:widowControl w:val="0"/>
        <w:spacing w:after="0" w:line="560" w:lineRule="exact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lang w:eastAsia="zh-CN"/>
        </w:rPr>
        <w:t>使用说明书</w:t>
      </w:r>
    </w:p>
    <w:p w14:paraId="5DB2FF7C">
      <w:pPr>
        <w:widowControl w:val="0"/>
        <w:spacing w:after="0" w:line="560" w:lineRule="exact"/>
        <w:jc w:val="center"/>
      </w:pPr>
    </w:p>
    <w:p w14:paraId="031B9FF5">
      <w:pPr>
        <w:widowControl w:val="0"/>
        <w:spacing w:after="0" w:line="560" w:lineRule="exact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linePitch="312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489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5A6CFEC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F78F22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_Toc6255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第1章 系统概述</w:t>
          </w:r>
          <w:r>
            <w:tab/>
          </w:r>
          <w:r>
            <w:fldChar w:fldCharType="begin"/>
          </w:r>
          <w:r>
            <w:instrText xml:space="preserve"> PAGEREF _Toc6255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22C218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_Toc23330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1.1 建设目标</w:t>
          </w:r>
          <w:r>
            <w:tab/>
          </w:r>
          <w:r>
            <w:fldChar w:fldCharType="begin"/>
          </w:r>
          <w:r>
            <w:instrText xml:space="preserve"> PAGEREF _Toc23330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E37B7F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_Toc8487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_Toc8487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7D5C1A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_Toc19376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第2章 系统设计</w:t>
          </w:r>
          <w:r>
            <w:tab/>
          </w:r>
          <w:r>
            <w:fldChar w:fldCharType="begin"/>
          </w:r>
          <w:r>
            <w:instrText xml:space="preserve"> PAGEREF _Toc19376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2B08A1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_Toc8570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2.1 前端功能设计</w:t>
          </w:r>
          <w:r>
            <w:tab/>
          </w:r>
          <w:r>
            <w:fldChar w:fldCharType="begin"/>
          </w:r>
          <w:r>
            <w:instrText xml:space="preserve"> PAGEREF _Toc8570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FA0DB6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_Toc32349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2.2 后端功能设计</w:t>
          </w:r>
          <w:r>
            <w:tab/>
          </w:r>
          <w:r>
            <w:fldChar w:fldCharType="begin"/>
          </w:r>
          <w:r>
            <w:instrText xml:space="preserve"> PAGEREF _Toc32349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7B5C80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_Toc29086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2.3 系统架构设计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AD9371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_Toc19465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2.4 系统整体设计</w:t>
          </w:r>
          <w:r>
            <w:tab/>
          </w:r>
          <w:r>
            <w:fldChar w:fldCharType="begin"/>
          </w:r>
          <w:r>
            <w:instrText xml:space="preserve"> PAGEREF _Toc19465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E8BA9D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_Toc27250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第3章 功能使用说明</w:t>
          </w:r>
          <w:r>
            <w:tab/>
          </w:r>
          <w:r>
            <w:fldChar w:fldCharType="begin"/>
          </w:r>
          <w:r>
            <w:instrText xml:space="preserve"> PAGEREF _Toc27250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52E751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_Toc26538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3.1 登录与首页总览</w:t>
          </w:r>
          <w:r>
            <w:tab/>
          </w:r>
          <w:r>
            <w:fldChar w:fldCharType="begin"/>
          </w:r>
          <w:r>
            <w:instrText xml:space="preserve"> PAGEREF _Toc26538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F529AF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_Toc602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3.2 基础数据管理</w:t>
          </w:r>
          <w:r>
            <w:tab/>
          </w:r>
          <w:r>
            <w:fldChar w:fldCharType="begin"/>
          </w:r>
          <w:r>
            <w:instrText xml:space="preserve"> PAGEREF _Toc602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369763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_Toc26677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3.3 计算分析与特色功能</w:t>
          </w:r>
          <w:r>
            <w:tab/>
          </w:r>
          <w:r>
            <w:fldChar w:fldCharType="begin"/>
          </w:r>
          <w:r>
            <w:instrText xml:space="preserve"> PAGEREF _Toc26677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BC4DBC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_Toc3599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3.4 智能助手与报告中心</w:t>
          </w:r>
          <w:r>
            <w:tab/>
          </w:r>
          <w:r>
            <w:fldChar w:fldCharType="begin"/>
          </w:r>
          <w:r>
            <w:instrText xml:space="preserve"> PAGEREF _Toc3599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DF5A51">
          <w:pPr>
            <w:pStyle w:val="27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_Toc27314 </w:instrText>
          </w:r>
          <w:r>
            <w:fldChar w:fldCharType="separate"/>
          </w:r>
          <w:r>
            <w:rPr>
              <w:rFonts w:hint="eastAsia"/>
              <w:lang w:eastAsia="zh-CN"/>
            </w:rPr>
            <w:t>第4章 部署与运行</w:t>
          </w:r>
          <w:r>
            <w:tab/>
          </w:r>
          <w:r>
            <w:fldChar w:fldCharType="begin"/>
          </w:r>
          <w:r>
            <w:instrText xml:space="preserve"> PAGEREF _Toc27314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1C4A0C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_Toc11495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4.1 运行环境</w:t>
          </w:r>
          <w:r>
            <w:tab/>
          </w:r>
          <w:r>
            <w:fldChar w:fldCharType="begin"/>
          </w:r>
          <w:r>
            <w:instrText xml:space="preserve"> PAGEREF _Toc11495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E0BAC3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_Toc21983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4.2 启动方式</w:t>
          </w:r>
          <w:r>
            <w:tab/>
          </w:r>
          <w:r>
            <w:fldChar w:fldCharType="begin"/>
          </w:r>
          <w:r>
            <w:instrText xml:space="preserve"> PAGEREF _Toc21983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69E319">
          <w:pPr>
            <w:pStyle w:val="30"/>
            <w:tabs>
              <w:tab w:val="right" w:leader="dot" w:pos="8306"/>
              <w:tab w:val="clear" w:pos="9516"/>
            </w:tabs>
          </w:pPr>
          <w:r>
            <w:fldChar w:fldCharType="begin"/>
          </w:r>
          <w:r>
            <w:instrText xml:space="preserve"> HYPERLINK \l _Toc25695 </w:instrText>
          </w:r>
          <w:r>
            <w:fldChar w:fldCharType="separate"/>
          </w:r>
          <w:r>
            <w:rPr>
              <w:rFonts w:ascii="Times New Roman" w:hAnsi="Times New Roman" w:eastAsia="黑体"/>
              <w:lang w:eastAsia="zh-CN"/>
            </w:rPr>
            <w:t>4.3 运维建议</w:t>
          </w:r>
          <w:r>
            <w:tab/>
          </w:r>
          <w:r>
            <w:fldChar w:fldCharType="begin"/>
          </w:r>
          <w:r>
            <w:instrText xml:space="preserve"> PAGEREF _Toc25695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65842A5">
          <w:pPr>
            <w:widowControl w:val="0"/>
            <w:spacing w:after="0" w:line="560" w:lineRule="exact"/>
            <w:jc w:val="center"/>
          </w:pPr>
          <w:r>
            <w:fldChar w:fldCharType="end"/>
          </w:r>
          <w:bookmarkStart w:id="17" w:name="_GoBack"/>
          <w:bookmarkEnd w:id="17"/>
        </w:p>
      </w:sdtContent>
    </w:sdt>
    <w:p w14:paraId="0480E865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0" w:name="_Toc6255"/>
      <w:r>
        <w:rPr>
          <w:rFonts w:hint="eastAsia"/>
          <w:lang w:eastAsia="zh-CN"/>
        </w:rPr>
        <w:t>第1章 系统概述</w:t>
      </w:r>
      <w:bookmarkEnd w:id="0"/>
    </w:p>
    <w:p w14:paraId="104B9CD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本系统面向输油管道运行分析、能耗核算、泵站调度优化、故障诊断与智能问答场景，提供从基础数据管理、专业计算分析到智能报告生成的一体化能力。</w:t>
      </w:r>
    </w:p>
    <w:p w14:paraId="7CC7252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系统采用“前端可视化平台 + Spring Cloud 微服务后端 + Python 智能体服务”的分层架构，支持项目参数建模、水力工况分析、泵站组合优化、碳排核算、知识库问答与正式报告归档，适用于教学演示、方案论证、业务试运行与后续工程化扩展。</w:t>
      </w:r>
    </w:p>
    <w:p w14:paraId="1E5E0926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" w:name="_Toc23330"/>
      <w:r>
        <w:rPr>
          <w:rFonts w:ascii="Times New Roman" w:hAnsi="Times New Roman" w:eastAsia="黑体"/>
          <w:sz w:val="28"/>
          <w:lang w:eastAsia="zh-CN"/>
        </w:rPr>
        <w:t>1.1 建设目标</w:t>
      </w:r>
      <w:bookmarkEnd w:id="1"/>
    </w:p>
    <w:p w14:paraId="3EDB377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（1）建立统一的项目、管道、泵站、油品等基础数据管理平台，为后续分析提供标准化输入。</w:t>
      </w:r>
    </w:p>
    <w:p w14:paraId="794F5875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（2）提供水力分析、泵站优化、敏感性分析、故障诊断、方案对比、碳排核算等核心业务能力。</w:t>
      </w:r>
    </w:p>
    <w:p w14:paraId="0677C23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（3）通过智能助手接入知识库检索、分析推理、报告生成与过程追踪能力，提升分析效率。</w:t>
      </w:r>
    </w:p>
    <w:p w14:paraId="52331E59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（4）形成“数据录入 - 计算分析 - 结果展示 - 报告归档”的完整闭环，便于部署、演示与持续迭代。</w:t>
      </w:r>
    </w:p>
    <w:p w14:paraId="65DAA2DB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2" w:name="_Toc8487"/>
      <w:r>
        <w:rPr>
          <w:rFonts w:ascii="Times New Roman" w:hAnsi="Times New Roman" w:eastAsia="黑体"/>
          <w:sz w:val="28"/>
          <w:lang w:eastAsia="zh-CN"/>
        </w:rPr>
        <w:t>1.2 背景</w:t>
      </w:r>
      <w:bookmarkEnd w:id="2"/>
    </w:p>
    <w:p w14:paraId="7A48C63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软件分类：应用软件。</w:t>
      </w:r>
    </w:p>
    <w:p w14:paraId="53F9F22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运行硬件环境：个人计算机或服务器，建议 CPU 4 核及以上、内存 16GB 及以上、可用磁盘空间 20GB 及以上。</w:t>
      </w:r>
    </w:p>
    <w:p w14:paraId="241EBCC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开发硬件环境：个人计算机，建议 CPU 4 核及以上、内存 16GB 及以上、可用磁盘空间 40GB 及以上。</w:t>
      </w:r>
    </w:p>
    <w:p w14:paraId="421B2A5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开发软件环境：IntelliJ IDEA、Visual Studio Code、Node.js、Maven、Python 3.11、Docker Desktop。</w:t>
      </w:r>
    </w:p>
    <w:p w14:paraId="46F958C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软件运行支撑环境/支持软件：JDK 21、MySQL 8.0、Redis 7、Nacos 2.2.x、MinIO、Milvus、Node.js 18+。</w:t>
      </w:r>
    </w:p>
    <w:p w14:paraId="4FCA4CE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运行软件环境：Windows 10、Windows 11 或 Linux。</w:t>
      </w:r>
    </w:p>
    <w:p w14:paraId="00AA38D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开发该软件的操作系统：Windows 10 或 Windows 11。</w:t>
      </w:r>
    </w:p>
    <w:p w14:paraId="41D76E71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编程语言：Java、TypeScript、Python、SQL。</w:t>
      </w:r>
    </w:p>
    <w:p w14:paraId="0AC3CA91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主要功能：系统支持用户登录认证、首页总览、项目数据建模、水力分析、泵站优化、敏感性分析、故障诊断、方案对比、碳排核算、实时监控、智能问答、知识库录入、分析报告生成与下载。</w:t>
      </w:r>
    </w:p>
    <w:p w14:paraId="4EEA4F67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技术特点：后端采用 Spring Cloud Alibaba 微服务架构，前端采用 React + TypeScript + Vite，智能体服务采用 FastAPI，并结合知识库、向量检索、流程编排与报告输出能力构建智能分析闭环。</w:t>
      </w:r>
    </w:p>
    <w:p w14:paraId="45820027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3" w:name="_Toc19376"/>
      <w:r>
        <w:rPr>
          <w:rFonts w:hint="eastAsia"/>
          <w:lang w:eastAsia="zh-CN"/>
        </w:rPr>
        <w:t>第2章 系统设计</w:t>
      </w:r>
      <w:bookmarkEnd w:id="3"/>
    </w:p>
    <w:p w14:paraId="04BFBE28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4" w:name="_Toc8570"/>
      <w:r>
        <w:rPr>
          <w:rFonts w:ascii="Times New Roman" w:hAnsi="Times New Roman" w:eastAsia="黑体"/>
          <w:sz w:val="28"/>
          <w:lang w:eastAsia="zh-CN"/>
        </w:rPr>
        <w:t>2.1 前端功能设计</w:t>
      </w:r>
      <w:bookmarkEnd w:id="4"/>
    </w:p>
    <w:p w14:paraId="133393B8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图1 前端功能设计图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前端功能设计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EAD008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前端系统提供统一的可视化入口，主要包含登录页、首页总览、数据管理、计算分析、特色功能、报告中心和智能助手七大区域。用户可通过侧边菜单快速切换项目管理、参数配置、分析计算与报告查看等页面。</w:t>
      </w:r>
    </w:p>
    <w:p w14:paraId="28C3D8B9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5" w:name="_Toc32349"/>
      <w:r>
        <w:rPr>
          <w:rFonts w:ascii="Times New Roman" w:hAnsi="Times New Roman" w:eastAsia="黑体"/>
          <w:sz w:val="28"/>
          <w:lang w:eastAsia="zh-CN"/>
        </w:rPr>
        <w:t>2.2 后端功能设计</w:t>
      </w:r>
      <w:bookmarkEnd w:id="5"/>
    </w:p>
    <w:p w14:paraId="465EB523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图2 后端功能设计图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后端功能设计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AA6AC4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后端由 API 网关、认证服务、系统服务、数据服务、计算服务和智能体服务组成。网关负责统一入口与路由转发，认证服务负责登录鉴权，数据服务承担项目和参数数据管理，计算服务负责水力分析、优化计算和报告归档，智能体服务负责知识库问答、分析追踪、报告生成与工具编排。</w:t>
      </w:r>
    </w:p>
    <w:p w14:paraId="462A0EBA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6" w:name="_Toc29086"/>
      <w:r>
        <w:rPr>
          <w:rFonts w:ascii="Times New Roman" w:hAnsi="Times New Roman" w:eastAsia="黑体"/>
          <w:sz w:val="28"/>
          <w:lang w:eastAsia="zh-CN"/>
        </w:rPr>
        <w:t>2.3 系统架构设计</w:t>
      </w:r>
      <w:bookmarkEnd w:id="6"/>
    </w:p>
    <w:p w14:paraId="539B94D3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图3 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系统架构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A7E73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系统整体采用分层架构。用户通过浏览器访问 React 前端，前端经由网关访问各 Java 微服务；Python 智能体服务独立提供智能问答和报告接口；底层使用 MySQL 存储业务数据，Redis 维护缓存和会话，Nacos 用于服务注册发现，MinIO 和 Milvus 为知识文档与向量检索提供支撑。</w:t>
      </w:r>
    </w:p>
    <w:p w14:paraId="1FE604B1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7" w:name="_Toc19465"/>
      <w:r>
        <w:rPr>
          <w:rFonts w:ascii="Times New Roman" w:hAnsi="Times New Roman" w:eastAsia="黑体"/>
          <w:sz w:val="28"/>
          <w:lang w:eastAsia="zh-CN"/>
        </w:rPr>
        <w:t>2.4 系统整体设计</w:t>
      </w:r>
      <w:bookmarkEnd w:id="7"/>
    </w:p>
    <w:p w14:paraId="42676353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图4 系统整体设计图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系统整体设计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3621D0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业务流程为：先建立项目与设备参数，再执行水力分析和优化计算；在此基础上可进一步开展故障诊断、方案对比、碳排核算和实时监控；最后通过智能助手和报告中心完成结论归纳、正式报告输出与历史记录追踪，形成完整应用闭环。</w:t>
      </w:r>
    </w:p>
    <w:p w14:paraId="034468CF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8" w:name="_Toc27250"/>
      <w:r>
        <w:rPr>
          <w:rFonts w:hint="eastAsia"/>
          <w:lang w:eastAsia="zh-CN"/>
        </w:rPr>
        <w:t>第3章 功能使用说明</w:t>
      </w:r>
      <w:bookmarkEnd w:id="8"/>
    </w:p>
    <w:p w14:paraId="085A6C9A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9" w:name="_Toc26538"/>
      <w:r>
        <w:rPr>
          <w:rFonts w:ascii="Times New Roman" w:hAnsi="Times New Roman" w:eastAsia="黑体"/>
          <w:sz w:val="28"/>
          <w:lang w:eastAsia="zh-CN"/>
        </w:rPr>
        <w:t>3.1 登录与首页总览</w:t>
      </w:r>
      <w:bookmarkEnd w:id="9"/>
    </w:p>
    <w:p w14:paraId="3A957D58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图5 系统首页图（图片预留）</w:t>
      </w:r>
    </w:p>
    <w:p w14:paraId="5CAF2EBC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图6 系统登录界面图（图片预留）</w:t>
      </w:r>
    </w:p>
    <w:p w14:paraId="417C4BC9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用户打开前端地址 http://localhost:5173 后进入登录页，输入用户名和密码即可访问系统。当前项目默认管理员账号为 admin / admin123。登录成功后进入首页总览页面，可查看实时流量、管道压力、平均温度、系统效率、告警信息和设备运行状态等概览信息。</w:t>
      </w:r>
    </w:p>
    <w:p w14:paraId="32C5335E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0" w:name="_Toc602"/>
      <w:r>
        <w:rPr>
          <w:rFonts w:ascii="Times New Roman" w:hAnsi="Times New Roman" w:eastAsia="黑体"/>
          <w:sz w:val="28"/>
          <w:lang w:eastAsia="zh-CN"/>
        </w:rPr>
        <w:t>3.2 基础数据管理</w:t>
      </w:r>
      <w:bookmarkEnd w:id="10"/>
    </w:p>
    <w:p w14:paraId="5D1B9257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图7 项目与参数管理界面图（图片预留）</w:t>
      </w:r>
    </w:p>
    <w:p w14:paraId="607791B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数据管理”菜单下，系统提供项目管理、管道参数、泵站参数和油品参数四类基础数据维护页面。建议的录入顺序为：先创建项目，再维护项目下的管道参数，然后维护泵站参数和油品参数。后续在分析计算页面中，系统可自动带入已保存的参数，减少重复输入。</w:t>
      </w:r>
    </w:p>
    <w:p w14:paraId="0B9F18A8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1" w:name="_Toc26677"/>
      <w:r>
        <w:rPr>
          <w:rFonts w:ascii="Times New Roman" w:hAnsi="Times New Roman" w:eastAsia="黑体"/>
          <w:sz w:val="28"/>
          <w:lang w:eastAsia="zh-CN"/>
        </w:rPr>
        <w:t>3.3 计算分析与特色功能</w:t>
      </w:r>
      <w:bookmarkEnd w:id="11"/>
    </w:p>
    <w:p w14:paraId="48DB9E3E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图8 水力分析界面图（图片预留）</w:t>
      </w:r>
    </w:p>
    <w:p w14:paraId="43C7280A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图9 泵站优化与专题分析界面图（图片预留）</w:t>
      </w:r>
    </w:p>
    <w:p w14:paraId="0A30FF15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计算分析”菜单下，系统提供水力分析、泵站优化和敏感性分析功能。水力分析用于计算流速、雷诺数、沿程损失、水力坡降和站间压力等指标；泵站优化用于遍历可行泵组合并输出推荐运行方案、末站压力与能耗成本；敏感性分析用于观察关键变量变化对结果的影响。</w:t>
      </w:r>
    </w:p>
    <w:p w14:paraId="480DD4F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特色功能”菜单下，系统提供故障诊断、方案对比、碳排核算和实时监控能力。其中故障诊断可辅助定位异常原因，方案对比可比较不同运行工况或参数方案，碳排核算可评估能耗对应的排放水平，实时监控页面用于展示运行状态、告警信息和关键趋势指标。</w:t>
      </w:r>
    </w:p>
    <w:p w14:paraId="3BB2C3D5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2" w:name="_Toc3599"/>
      <w:r>
        <w:rPr>
          <w:rFonts w:ascii="Times New Roman" w:hAnsi="Times New Roman" w:eastAsia="黑体"/>
          <w:sz w:val="28"/>
          <w:lang w:eastAsia="zh-CN"/>
        </w:rPr>
        <w:t>3.4 智能助手与报告中心</w:t>
      </w:r>
      <w:bookmarkEnd w:id="12"/>
    </w:p>
    <w:p w14:paraId="236CC4AF">
      <w:pPr>
        <w:widowControl w:val="0"/>
        <w:spacing w:after="0" w:line="400" w:lineRule="exact"/>
        <w:jc w:val="center"/>
        <w:rPr>
          <w:rFonts w:ascii="Times New Roman" w:hAnsi="Times New Roman"/>
          <w:b/>
          <w:sz w:val="21"/>
          <w:lang w:eastAsia="zh-CN"/>
        </w:rPr>
      </w:pPr>
      <w:r>
        <w:rPr>
          <w:rFonts w:ascii="Times New Roman" w:hAnsi="Times New Roman"/>
          <w:b/>
          <w:sz w:val="21"/>
          <w:lang w:eastAsia="zh-CN"/>
        </w:rPr>
        <w:t>图10 智能助手与报告中心界面图（图片预留）</w:t>
      </w:r>
    </w:p>
    <w:p w14:paraId="458593A9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智能助手”菜单下，用户可进入智能对话、知识库录入和智能报告页面。智能对话支持标准问答、故障诊断模式和优化建议模式，并展示分析计划、工具调用和执行过程；知识库录入用于上传和维护管道相关知识文档；智能报告可按时间范围和分析重点自动生成结构化报告内容。</w:t>
      </w:r>
    </w:p>
    <w:p w14:paraId="7FDD9D72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在“报告中心”页面，用户可查看报告列表、生成时间、格式信息，并下载可编辑版或版式版报告文件，便于归档、汇报和后续复核。</w:t>
      </w:r>
    </w:p>
    <w:p w14:paraId="769B4D20">
      <w:pPr>
        <w:pStyle w:val="168"/>
        <w:pageBreakBefore/>
        <w:spacing w:line="550" w:lineRule="exact"/>
        <w:jc w:val="center"/>
        <w:rPr>
          <w:rFonts w:hint="eastAsia"/>
          <w:lang w:eastAsia="zh-CN"/>
        </w:rPr>
      </w:pPr>
      <w:bookmarkStart w:id="13" w:name="_Toc27314"/>
      <w:r>
        <w:rPr>
          <w:rFonts w:hint="eastAsia"/>
          <w:lang w:eastAsia="zh-CN"/>
        </w:rPr>
        <w:t>第4章 部署与运行</w:t>
      </w:r>
      <w:bookmarkEnd w:id="13"/>
    </w:p>
    <w:p w14:paraId="1F11FC15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4" w:name="_Toc11495"/>
      <w:r>
        <w:rPr>
          <w:rFonts w:ascii="Times New Roman" w:hAnsi="Times New Roman" w:eastAsia="黑体"/>
          <w:sz w:val="28"/>
          <w:lang w:eastAsia="zh-CN"/>
        </w:rPr>
        <w:t>4.1 运行环境</w:t>
      </w:r>
      <w:bookmarkEnd w:id="14"/>
    </w:p>
    <w:p w14:paraId="76C238E8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推荐环境如下：</w:t>
      </w:r>
    </w:p>
    <w:p w14:paraId="3724E2C2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JDK 21，Maven 3.8 及以上。</w:t>
      </w:r>
    </w:p>
    <w:p w14:paraId="400B68AB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Python 3.11。</w:t>
      </w:r>
    </w:p>
    <w:p w14:paraId="2CA983B0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Node.js 18 及以上。</w:t>
      </w:r>
    </w:p>
    <w:p w14:paraId="62ADD74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MySQL 8.0，Redis 7。</w:t>
      </w:r>
    </w:p>
    <w:p w14:paraId="02846EA6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Docker 与 Docker Compose。</w:t>
      </w:r>
    </w:p>
    <w:p w14:paraId="1574254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Windows 10、Windows 11 或 Linux。</w:t>
      </w:r>
    </w:p>
    <w:p w14:paraId="2044EEA6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5" w:name="_Toc21983"/>
      <w:r>
        <w:rPr>
          <w:rFonts w:ascii="Times New Roman" w:hAnsi="Times New Roman" w:eastAsia="黑体"/>
          <w:sz w:val="28"/>
          <w:lang w:eastAsia="zh-CN"/>
        </w:rPr>
        <w:t>4.2 启动方式</w:t>
      </w:r>
      <w:bookmarkEnd w:id="15"/>
    </w:p>
    <w:p w14:paraId="03CFB1AF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基础设施启动：进入 pipeline-energy-cloud 目录后执行 docker-compose up -d，启动 MySQL、Redis、Nacos、MinIO 和 Milvus 等依赖服务。</w:t>
      </w:r>
    </w:p>
    <w:p w14:paraId="6FD60CA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数据库初始化：执行 pipeline-energy-cloud/sql/schema.sql 脚本，导入系统基础表、计算历史表、分析报告表和默认管理员账号数据。</w:t>
      </w:r>
    </w:p>
    <w:p w14:paraId="3D326F73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Java 后端启动：在 pipeline-energy-cloud 目录执行 mvn clean package -DskipTests 完成编译后，按需启动网关、认证、数据、计算等服务，或使用项目根目录的 start-all-services.bat 脚本进行联动启动。</w:t>
      </w:r>
    </w:p>
    <w:p w14:paraId="31D42CFC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智能体服务启动：进入 pipeline-agent 目录，安装依赖后执行 py -3 -m src.main 或 py -3 main.py，默认服务地址为 http://localhost:8100。</w:t>
      </w:r>
    </w:p>
    <w:p w14:paraId="08A2EE64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前端启动：进入 pipeline-react 目录执行 npm install 与 npm run dev，默认访问地址为 http://localhost:5173。</w:t>
      </w:r>
    </w:p>
    <w:p w14:paraId="559C91E0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系统常用地址：前端 http://localhost:5173，网关 http://localhost:8080，智能体服务 http://localhost:8100，Nacos 控制台 http://localhost:8848，MinIO 控制台 http://localhost:9001。</w:t>
      </w:r>
    </w:p>
    <w:p w14:paraId="7DC4A6F8">
      <w:pPr>
        <w:widowControl w:val="0"/>
        <w:spacing w:after="0" w:line="550" w:lineRule="exact"/>
        <w:outlineLvl w:val="1"/>
        <w:rPr>
          <w:rFonts w:ascii="Times New Roman" w:hAnsi="Times New Roman" w:eastAsia="黑体"/>
          <w:sz w:val="28"/>
          <w:lang w:eastAsia="zh-CN"/>
        </w:rPr>
      </w:pPr>
      <w:bookmarkStart w:id="16" w:name="_Toc25695"/>
      <w:r>
        <w:rPr>
          <w:rFonts w:ascii="Times New Roman" w:hAnsi="Times New Roman" w:eastAsia="黑体"/>
          <w:sz w:val="28"/>
          <w:lang w:eastAsia="zh-CN"/>
        </w:rPr>
        <w:t>4.3 运维建议</w:t>
      </w:r>
      <w:bookmarkEnd w:id="16"/>
    </w:p>
    <w:p w14:paraId="3BF368C5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建议定期备份 MySQL 数据、MinIO 文件和知识库索引，避免报告与知识文档丢失。</w:t>
      </w:r>
    </w:p>
    <w:p w14:paraId="4A3791EE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建议在部署前核对各服务配置文件和 pipeline-agent/.env 中的数据库、模型与接口地址配置，确保前后端以及智能体服务地址保持一致。</w:t>
      </w:r>
    </w:p>
    <w:p w14:paraId="558F8724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建议通过日志、告警和健康检查接口持续观察网关、计算服务和智能体服务运行状态，必要时按“基础设施 - Java 微服务 - 智能体服务 - 前端”的顺序进行重启。</w:t>
      </w:r>
    </w:p>
    <w:p w14:paraId="7F3CC951">
      <w:pPr>
        <w:widowControl w:val="0"/>
        <w:spacing w:after="0" w:line="550" w:lineRule="exact"/>
        <w:ind w:firstLine="480" w:firstLineChars="200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建议生产环境修改默认管理员密码，并对内部接口令牌、知识库上传接口和报告下载接口进行访问控制。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EF4"/>
    <w:rsid w:val="00034616"/>
    <w:rsid w:val="00034B62"/>
    <w:rsid w:val="0006063C"/>
    <w:rsid w:val="0015074B"/>
    <w:rsid w:val="001805FA"/>
    <w:rsid w:val="0018747C"/>
    <w:rsid w:val="001A7D3F"/>
    <w:rsid w:val="001F3A4F"/>
    <w:rsid w:val="0029639D"/>
    <w:rsid w:val="00296C87"/>
    <w:rsid w:val="002F0748"/>
    <w:rsid w:val="002F1553"/>
    <w:rsid w:val="00326F90"/>
    <w:rsid w:val="003359BE"/>
    <w:rsid w:val="00355F70"/>
    <w:rsid w:val="003D209C"/>
    <w:rsid w:val="00410A65"/>
    <w:rsid w:val="00442278"/>
    <w:rsid w:val="00444E23"/>
    <w:rsid w:val="00520A89"/>
    <w:rsid w:val="005902B8"/>
    <w:rsid w:val="00600C94"/>
    <w:rsid w:val="006031CB"/>
    <w:rsid w:val="00736E1B"/>
    <w:rsid w:val="00866F81"/>
    <w:rsid w:val="008B31D1"/>
    <w:rsid w:val="008C1183"/>
    <w:rsid w:val="008E42EF"/>
    <w:rsid w:val="008E6D09"/>
    <w:rsid w:val="009633A1"/>
    <w:rsid w:val="009B5E65"/>
    <w:rsid w:val="009D4F69"/>
    <w:rsid w:val="00A543AA"/>
    <w:rsid w:val="00AA1D8D"/>
    <w:rsid w:val="00AE5B8B"/>
    <w:rsid w:val="00B04DDD"/>
    <w:rsid w:val="00B47730"/>
    <w:rsid w:val="00B65248"/>
    <w:rsid w:val="00C83458"/>
    <w:rsid w:val="00C975D8"/>
    <w:rsid w:val="00CB0664"/>
    <w:rsid w:val="00CC1D35"/>
    <w:rsid w:val="00D00640"/>
    <w:rsid w:val="00D143ED"/>
    <w:rsid w:val="00D22AF7"/>
    <w:rsid w:val="00D25650"/>
    <w:rsid w:val="00DA0FE4"/>
    <w:rsid w:val="00DD45B1"/>
    <w:rsid w:val="00DE6E5E"/>
    <w:rsid w:val="00E40CDB"/>
    <w:rsid w:val="00F9351E"/>
    <w:rsid w:val="00FC693F"/>
    <w:rsid w:val="00FF212B"/>
    <w:rsid w:val="465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sz w:val="22"/>
      <w:lang w:eastAsia="zh-CN"/>
    </w:r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unhideWhenUsed/>
    <w:qFormat/>
    <w:uiPriority w:val="39"/>
    <w:pPr>
      <w:widowControl w:val="0"/>
      <w:tabs>
        <w:tab w:val="right" w:leader="dot" w:pos="9516"/>
      </w:tabs>
      <w:spacing w:after="0" w:line="550" w:lineRule="exact"/>
    </w:pPr>
    <w:rPr>
      <w:rFonts w:ascii="Times New Roman" w:hAnsi="Times New Roman" w:cs="Times New Roman"/>
      <w:b/>
      <w:bCs/>
      <w:kern w:val="2"/>
      <w:szCs w:val="20"/>
      <w:lang w:eastAsia="zh-CN"/>
    </w:rPr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qFormat/>
    <w:uiPriority w:val="39"/>
    <w:pPr>
      <w:widowControl w:val="0"/>
      <w:tabs>
        <w:tab w:val="right" w:leader="dot" w:pos="9516"/>
      </w:tabs>
      <w:spacing w:after="0" w:line="550" w:lineRule="exact"/>
      <w:ind w:firstLine="240" w:firstLineChars="100"/>
    </w:pPr>
    <w:rPr>
      <w:rFonts w:ascii="Times New Roman" w:hAnsi="Times New Roman" w:cs="Times New Roman"/>
      <w:smallCaps/>
      <w:kern w:val="2"/>
      <w:szCs w:val="20"/>
      <w:lang w:eastAsia="zh-CN"/>
    </w:rPr>
  </w:style>
  <w:style w:type="paragraph" w:styleId="31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9">
    <w:name w:val="页眉 字符"/>
    <w:basedOn w:val="135"/>
    <w:link w:val="26"/>
    <w:uiPriority w:val="99"/>
  </w:style>
  <w:style w:type="character" w:customStyle="1" w:styleId="140">
    <w:name w:val="页脚 字符"/>
    <w:basedOn w:val="135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uiPriority w:val="99"/>
  </w:style>
  <w:style w:type="character" w:customStyle="1" w:styleId="149">
    <w:name w:val="正文文本 2 字符"/>
    <w:basedOn w:val="135"/>
    <w:link w:val="31"/>
    <w:uiPriority w:val="99"/>
  </w:style>
  <w:style w:type="character" w:customStyle="1" w:styleId="150">
    <w:name w:val="正文文本 3 字符"/>
    <w:basedOn w:val="135"/>
    <w:link w:val="17"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unhideWhenUsed/>
    <w:qFormat/>
    <w:uiPriority w:val="39"/>
    <w:pPr>
      <w:outlineLvl w:val="9"/>
    </w:pPr>
  </w:style>
  <w:style w:type="paragraph" w:customStyle="1" w:styleId="168">
    <w:name w:val="21bc9c4b-6a32-43e5-beaa-fd2d792c5735"/>
    <w:basedOn w:val="3"/>
    <w:next w:val="1"/>
    <w:link w:val="169"/>
    <w:qFormat/>
    <w:uiPriority w:val="0"/>
    <w:pPr>
      <w:widowControl w:val="0"/>
      <w:adjustRightInd w:val="0"/>
      <w:spacing w:before="0" w:line="288" w:lineRule="auto"/>
    </w:pPr>
    <w:rPr>
      <w:rFonts w:ascii="微软雅黑" w:hAnsi="微软雅黑" w:eastAsia="微软雅黑"/>
      <w:color w:val="000000"/>
      <w:sz w:val="32"/>
    </w:rPr>
  </w:style>
  <w:style w:type="character" w:customStyle="1" w:styleId="169">
    <w:name w:val="21bc9c4b-6a32-43e5-beaa-fd2d792c5735 字符"/>
    <w:basedOn w:val="135"/>
    <w:link w:val="168"/>
    <w:qFormat/>
    <w:uiPriority w:val="0"/>
    <w:rPr>
      <w:rFonts w:ascii="微软雅黑" w:hAnsi="微软雅黑" w:eastAsia="微软雅黑" w:cstheme="majorBidi"/>
      <w:b/>
      <w:bCs/>
      <w:color w:val="000000"/>
      <w:sz w:val="32"/>
      <w:szCs w:val="28"/>
    </w:rPr>
  </w:style>
  <w:style w:type="character" w:customStyle="1" w:styleId="170">
    <w:name w:val="页脚 字符1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2656</Words>
  <Characters>3443</Characters>
  <Lines>148</Lines>
  <Paragraphs>135</Paragraphs>
  <TotalTime>2</TotalTime>
  <ScaleCrop>false</ScaleCrop>
  <LinksUpToDate>false</LinksUpToDate>
  <CharactersWithSpaces>3636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2026-02-26T07:43:00Z</dcterms:created>
  <dc:creator>python-docx</dc:creator>
  <dc:description>generated by python-docx</dc:description>
  <cp:lastModifiedBy>。。..</cp:lastModifiedBy>
  <dcterms:modified xsi:type="dcterms:W3CDTF">2026-03-25T07:52:05Z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eyJoZGlkIjoiYzcyYTMzNGNmOWUyMjZiZWQ0ZGZjZmJmZWEzNjQyYmEiLCJ1c2VySWQiOiI1MTgxOTE2MTkifQ==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87C00CEF2C26446F80460EA3F3075618_12</vt:lpwstr>
  </property>
</Properties>
</file>