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80" w:after="80" w:line="280"/>
        <w:jc w:val="center"/>
      </w:pPr>
      <w:r>
        <w:rPr>
          <w:rFonts w:ascii="Arial" w:cs="Arial" w:eastAsia="Arial" w:hAnsi="Arial"/>
          <w:b/>
          <w:bCs/>
          <w:i w:val="false"/>
          <w:iCs w:val="false"/>
          <w:color w:val="6B7FA8"/>
          <w:sz w:val="18"/>
          <w:szCs w:val="18"/>
        </w:rPr>
        <w:t xml:space="preserve">TD COMMONS PRIOR ART DISCLOSURE</w:t>
      </w:r>
    </w:p>
    <w:p>
      <w:pPr>
        <w:pBdr>
          <w:bottom w:val="single" w:color="1B3A6B" w:sz="8" w:space="8"/>
        </w:pBdr>
        <w:spacing w:before="0" w:after="240"/>
        <w:jc w:val="center"/>
      </w:pPr>
      <w:r>
        <w:rPr>
          <w:sz w:val="20"/>
          <w:szCs w:val="20"/>
        </w:rPr>
        <w:t xml:space="preserve"> </w:t>
      </w:r>
    </w:p>
    <w:p>
      <w:pPr>
        <w:spacing w:before="60" w:after="60"/>
      </w:pPr>
      <w:r>
        <w:t xml:space="preserve"/>
      </w:r>
    </w:p>
    <w:p>
      <w:pPr>
        <w:spacing w:before="80" w:after="80" w:line="280"/>
        <w:jc w:val="center"/>
      </w:pPr>
      <w:r>
        <w:rPr>
          <w:rFonts w:ascii="Arial" w:cs="Arial" w:eastAsia="Arial" w:hAnsi="Arial"/>
          <w:b/>
          <w:bCs/>
          <w:i w:val="false"/>
          <w:iCs w:val="false"/>
          <w:color w:val="1B3A6B"/>
          <w:sz w:val="54"/>
          <w:szCs w:val="54"/>
        </w:rPr>
        <w:t xml:space="preserve">TOPH KERNEL v1.0</w:t>
      </w:r>
    </w:p>
    <w:p>
      <w:pPr>
        <w:spacing w:before="80" w:after="80" w:line="280"/>
        <w:jc w:val="center"/>
      </w:pPr>
      <w:r>
        <w:rPr>
          <w:rFonts w:ascii="Arial" w:cs="Arial" w:eastAsia="Arial" w:hAnsi="Arial"/>
          <w:b/>
          <w:bCs/>
          <w:i w:val="false"/>
          <w:iCs w:val="false"/>
          <w:color w:val="2E5FA3"/>
          <w:sz w:val="30"/>
          <w:szCs w:val="30"/>
        </w:rPr>
        <w:t xml:space="preserve">Governance Instruction Set Architecture Executor</w:t>
      </w:r>
    </w:p>
    <w:p>
      <w:pPr>
        <w:spacing w:before="80" w:after="60" w:line="280"/>
        <w:jc w:val="center"/>
      </w:pPr>
      <w:r>
        <w:rPr>
          <w:rFonts w:ascii="Arial" w:cs="Arial" w:eastAsia="Arial" w:hAnsi="Arial"/>
          <w:b w:val="false"/>
          <w:bCs w:val="false"/>
          <w:i/>
          <w:iCs/>
          <w:color w:val="2C3E50"/>
          <w:sz w:val="24"/>
          <w:szCs w:val="24"/>
        </w:rPr>
        <w:t xml:space="preserve">256-Bit Bilateral Register · Four Parallel Virtual Machines</w:t>
      </w:r>
    </w:p>
    <w:p>
      <w:pPr>
        <w:spacing w:before="80" w:after="200" w:line="280"/>
        <w:jc w:val="center"/>
      </w:pPr>
      <w:r>
        <w:rPr>
          <w:rFonts w:ascii="Arial" w:cs="Arial" w:eastAsia="Arial" w:hAnsi="Arial"/>
          <w:b w:val="false"/>
          <w:bCs w:val="false"/>
          <w:i/>
          <w:iCs/>
          <w:color w:val="2C3E50"/>
          <w:sz w:val="22"/>
          <w:szCs w:val="22"/>
        </w:rPr>
        <w:t xml:space="preserve">SEEDED CROSS Topology · Patricia Shadow Register · Fault Chain Detection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3FA" w:val="clear"/>
            <w:tcMar>
              <w:top w:type="dxa" w:w="120"/>
              <w:left w:type="dxa" w:w="240"/>
              <w:bottom w:type="dxa" w:w="120"/>
              <w:right w:type="dxa" w:w="120"/>
            </w:tcMar>
          </w:tcPr>
          <w:p>
            <w:r>
              <w:rPr>
                <w:rFonts w:ascii="Arial" w:cs="Arial" w:eastAsia="Arial" w:hAnsi="Arial"/>
                <w:b/>
                <w:bCs/>
                <w:color w:val="6B7FA8"/>
                <w:sz w:val="18"/>
                <w:szCs w:val="18"/>
              </w:rPr>
              <w:t xml:space="preserve">Author</w:t>
            </w:r>
          </w:p>
          <w:p>
            <w:r>
              <w:rPr>
                <w:rFonts w:ascii="Arial" w:cs="Arial" w:eastAsia="Arial" w:hAnsi="Arial"/>
                <w:color w:val="2C3E50"/>
                <w:sz w:val="20"/>
                <w:szCs w:val="20"/>
              </w:rPr>
              <w:t xml:space="preserve">David Lee Wise</w:t>
            </w:r>
          </w:p>
          <w:p>
            <w:r>
              <w:rPr>
                <w:rFonts w:ascii="Arial" w:cs="Arial" w:eastAsia="Arial" w:hAnsi="Arial"/>
                <w:color w:val="2E5FA3"/>
                <w:sz w:val="18"/>
                <w:szCs w:val="18"/>
              </w:rPr>
              <w:t xml:space="preserve">TriPod LLC</w:t>
            </w:r>
          </w:p>
        </w:tc>
        <w:tc>
          <w:tcPr>
            <w:tcW w:type="dxa" w:w="2340"/>
            <w:tcBorders>
              <w:top w:val="none" w:color="FFFFFF" w:sz="0"/>
              <w:left w:val="none" w:color="FFFFFF" w:sz="0"/>
              <w:bottom w:val="none" w:color="FFFFFF" w:sz="0"/>
              <w:right w:val="none" w:color="FFFFFF" w:sz="0"/>
            </w:tcBorders>
            <w:shd w:fill="EEF3FA" w:val="clear"/>
            <w:tcMar>
              <w:top w:type="dxa" w:w="120"/>
              <w:left w:type="dxa" w:w="240"/>
              <w:bottom w:type="dxa" w:w="120"/>
              <w:right w:type="dxa" w:w="120"/>
            </w:tcMar>
          </w:tcPr>
          <w:p>
            <w:r>
              <w:rPr>
                <w:rFonts w:ascii="Arial" w:cs="Arial" w:eastAsia="Arial" w:hAnsi="Arial"/>
                <w:b/>
                <w:bCs/>
                <w:color w:val="6B7FA8"/>
                <w:sz w:val="18"/>
                <w:szCs w:val="18"/>
              </w:rPr>
              <w:t xml:space="preserve">Date</w:t>
            </w:r>
          </w:p>
          <w:p>
            <w:r>
              <w:rPr>
                <w:rFonts w:ascii="Arial" w:cs="Arial" w:eastAsia="Arial" w:hAnsi="Arial"/>
                <w:color w:val="2C3E50"/>
                <w:sz w:val="20"/>
                <w:szCs w:val="20"/>
              </w:rPr>
              <w:t xml:space="preserve">March 4, 2026</w:t>
            </w:r>
          </w:p>
          <w:p>
            <w:r>
              <w:rPr>
                <w:rFonts w:ascii="Arial" w:cs="Arial" w:eastAsia="Arial" w:hAnsi="Arial"/>
                <w:color w:val="2E5FA3"/>
                <w:sz w:val="18"/>
                <w:szCs w:val="18"/>
              </w:rPr>
              <w:t xml:space="preserve">TD Commons</w:t>
            </w:r>
          </w:p>
        </w:tc>
        <w:tc>
          <w:tcPr>
            <w:tcW w:type="dxa" w:w="2340"/>
            <w:tcBorders>
              <w:top w:val="none" w:color="FFFFFF" w:sz="0"/>
              <w:left w:val="none" w:color="FFFFFF" w:sz="0"/>
              <w:bottom w:val="none" w:color="FFFFFF" w:sz="0"/>
              <w:right w:val="none" w:color="FFFFFF" w:sz="0"/>
            </w:tcBorders>
            <w:shd w:fill="EEF3FA" w:val="clear"/>
            <w:tcMar>
              <w:top w:type="dxa" w:w="120"/>
              <w:left w:type="dxa" w:w="240"/>
              <w:bottom w:type="dxa" w:w="120"/>
              <w:right w:type="dxa" w:w="120"/>
            </w:tcMar>
          </w:tcPr>
          <w:p>
            <w:r>
              <w:rPr>
                <w:rFonts w:ascii="Arial" w:cs="Arial" w:eastAsia="Arial" w:hAnsi="Arial"/>
                <w:b/>
                <w:bCs/>
                <w:color w:val="6B7FA8"/>
                <w:sz w:val="18"/>
                <w:szCs w:val="18"/>
              </w:rPr>
              <w:t xml:space="preserve">License</w:t>
            </w:r>
          </w:p>
          <w:p>
            <w:r>
              <w:rPr>
                <w:rFonts w:ascii="Arial" w:cs="Arial" w:eastAsia="Arial" w:hAnsi="Arial"/>
                <w:color w:val="2C3E50"/>
                <w:sz w:val="20"/>
                <w:szCs w:val="20"/>
              </w:rPr>
              <w:t xml:space="preserve">CC BY-ND 4.0</w:t>
            </w:r>
          </w:p>
          <w:p>
            <w:r>
              <w:rPr>
                <w:rFonts w:ascii="Courier New" w:cs="Courier New" w:eastAsia="Courier New" w:hAnsi="Courier New"/>
                <w:color w:val="1B3A6B"/>
                <w:sz w:val="18"/>
                <w:szCs w:val="18"/>
              </w:rPr>
              <w:t xml:space="preserve">TRIPOD-IP-v1.1</w:t>
            </w:r>
          </w:p>
        </w:tc>
        <w:tc>
          <w:tcPr>
            <w:tcW w:type="dxa" w:w="2340"/>
            <w:tcBorders>
              <w:top w:val="none" w:color="FFFFFF" w:sz="0"/>
              <w:left w:val="none" w:color="FFFFFF" w:sz="0"/>
              <w:bottom w:val="none" w:color="FFFFFF" w:sz="0"/>
              <w:right w:val="none" w:color="FFFFFF" w:sz="0"/>
            </w:tcBorders>
            <w:shd w:fill="EEF3FA" w:val="clear"/>
            <w:tcMar>
              <w:top w:type="dxa" w:w="120"/>
              <w:left w:type="dxa" w:w="240"/>
              <w:bottom w:type="dxa" w:w="120"/>
              <w:right w:type="dxa" w:w="120"/>
            </w:tcMar>
          </w:tcPr>
          <w:p>
            <w:r>
              <w:rPr>
                <w:rFonts w:ascii="Arial" w:cs="Arial" w:eastAsia="Arial" w:hAnsi="Arial"/>
                <w:b/>
                <w:bCs/>
                <w:color w:val="6B7FA8"/>
                <w:sz w:val="18"/>
                <w:szCs w:val="18"/>
              </w:rPr>
              <w:t xml:space="preserve">Entity</w:t>
            </w:r>
          </w:p>
          <w:p>
            <w:r>
              <w:rPr>
                <w:rFonts w:ascii="Arial" w:cs="Arial" w:eastAsia="Arial" w:hAnsi="Arial"/>
                <w:color w:val="2C3E50"/>
                <w:sz w:val="20"/>
                <w:szCs w:val="20"/>
              </w:rPr>
              <w:t xml:space="preserve">TriPod LLC</w:t>
            </w:r>
          </w:p>
          <w:p>
            <w:r>
              <w:rPr>
                <w:rFonts w:ascii="Arial" w:cs="Arial" w:eastAsia="Arial" w:hAnsi="Arial"/>
                <w:color w:val="2E5FA3"/>
                <w:sz w:val="18"/>
                <w:szCs w:val="18"/>
              </w:rPr>
              <w:t xml:space="preserve">Root0 · Node0</w:t>
            </w:r>
          </w:p>
        </w:tc>
      </w:tr>
    </w:tbl>
    <w:p>
      <w:pPr>
        <w:spacing w:before="60" w:after="60"/>
      </w:pPr>
      <w:r>
        <w:t xml:space="preserve"/>
      </w:r>
    </w:p>
    <w:p>
      <w:pPr>
        <w:spacing w:before="80" w:after="80" w:line="280"/>
        <w:jc w:val="center"/>
      </w:pPr>
      <w:r>
        <w:rPr>
          <w:rFonts w:ascii="Courier New" w:cs="Courier New" w:eastAsia="Courier New" w:hAnsi="Courier New"/>
          <w:b w:val="false"/>
          <w:bCs w:val="false"/>
          <w:i w:val="false"/>
          <w:iCs w:val="false"/>
          <w:color w:val="6B7FA8"/>
          <w:sz w:val="15"/>
          <w:szCs w:val="15"/>
        </w:rPr>
        <w:t xml:space="preserve">SHA256: 02880745b847317c4e2424524ec25d0f7a2b84368d184586f45b54af9fcab763</w:t>
      </w:r>
    </w:p>
    <w:p>
      <w:pPr>
        <w:spacing w:before="60" w:after="60"/>
      </w:pPr>
      <w:r>
        <w:t xml:space="preserve"/>
      </w:r>
    </w:p>
    <w:p>
      <w:pPr>
        <w:spacing w:before="60" w:after="60"/>
      </w:pPr>
      <w:r>
        <w:t xml:space="preserve"/>
      </w:r>
    </w:p>
    <w:p>
      <w:r>
        <w:br w:type="page"/>
      </w:r>
    </w:p>
    <w:p>
      <w:pPr>
        <w:pStyle w:val="Heading1"/>
      </w:pPr>
      <w:r>
        <w:t xml:space="preserve">Abstract</w:t>
      </w:r>
    </w:p>
    <w:p>
      <w:pPr>
        <w:spacing w:before="80" w:after="140" w:line="280"/>
        <w:jc w:val="both"/>
      </w:pPr>
      <w:r>
        <w:rPr>
          <w:rFonts w:ascii="Arial" w:cs="Arial" w:eastAsia="Arial" w:hAnsi="Arial"/>
          <w:b w:val="false"/>
          <w:bCs w:val="false"/>
          <w:i w:val="false"/>
          <w:iCs w:val="false"/>
          <w:color w:val="2C3E50"/>
          <w:sz w:val="22"/>
          <w:szCs w:val="22"/>
        </w:rPr>
        <w:t xml:space="preserve">This disclosure establishes prior art for the TOPH Kernel v1.0: a governance execution engine implementing a 256-bit instruction set architecture (ISA) deployed across four parallel 64-bit virtual machines (VMs) in a SEEDED CROSS topology. The kernel takes a target system as input, executes 128 TOPH governance instructions (T001–T128) across four concurrent VM workers, computes a 128-bit governance key, derives a 128-bit Patricia shadow register (the inverted execution path), runs six fault chain detectors, and generates a court-ready governance report with evidence catalog E01–E07.</w:t>
      </w:r>
    </w:p>
    <w:p>
      <w:pPr>
        <w:spacing w:before="80" w:after="140" w:line="280"/>
        <w:jc w:val="both"/>
      </w:pPr>
      <w:r>
        <w:rPr>
          <w:rFonts w:ascii="Arial" w:cs="Arial" w:eastAsia="Arial" w:hAnsi="Arial"/>
          <w:b w:val="false"/>
          <w:bCs w:val="false"/>
          <w:i w:val="false"/>
          <w:iCs w:val="false"/>
          <w:color w:val="2C3E50"/>
          <w:sz w:val="22"/>
          <w:szCs w:val="22"/>
        </w:rPr>
        <w:t xml:space="preserve">The architecture is a structural isomorph of the OS kernel pattern applied to governance: axioms are instructions, the scheduler is a three-phase executor (privileged-first, branch-gates, linear sweep), the 128-bit register is memory, fault chains are interrupt handlers, and report generation is the system call layer. Four virtual machines map to the four arms of the SEEDED CROSS (±i, ±1), each running 32 axioms in parallel. A coordinator node assembles results when all four VMs complete, computes the governance key and shadow register, and generates the final report.</w:t>
      </w:r>
    </w:p>
    <w:p>
      <w:pPr>
        <w:spacing w:before="80" w:after="140" w:line="280"/>
        <w:jc w:val="both"/>
      </w:pPr>
      <w:r>
        <w:rPr>
          <w:rFonts w:ascii="Arial" w:cs="Arial" w:eastAsia="Arial" w:hAnsi="Arial"/>
          <w:b w:val="false"/>
          <w:bCs w:val="false"/>
          <w:i w:val="false"/>
          <w:iCs w:val="false"/>
          <w:color w:val="2C3E50"/>
          <w:sz w:val="22"/>
          <w:szCs w:val="22"/>
        </w:rPr>
        <w:t xml:space="preserve">This document asserts prior art against: distributed governance ISA design, bilateral governance register architecture, parallel VM governance execution, Patricia shadow register computation, fault chain interrupt architecture, court-ready governance report generation, and the SEEDED CROSS four-arm parallel execution topology.</w:t>
      </w:r>
    </w:p>
    <w:p>
      <w:pPr>
        <w:pBdr>
          <w:bottom w:val="single" w:color="C0CCEA" w:sz="4" w:space="1"/>
        </w:pBdr>
        <w:spacing w:before="200" w:after="200"/>
      </w:pPr>
    </w:p>
    <w:p>
      <w:pPr>
        <w:pStyle w:val="Heading1"/>
      </w:pPr>
      <w:r>
        <w:t xml:space="preserve">1. The OS Kernel Analogy</w:t>
      </w:r>
    </w:p>
    <w:p>
      <w:pPr>
        <w:spacing w:before="80" w:after="140" w:line="280"/>
        <w:jc w:val="both"/>
      </w:pPr>
      <w:r>
        <w:rPr>
          <w:rFonts w:ascii="Arial" w:cs="Arial" w:eastAsia="Arial" w:hAnsi="Arial"/>
          <w:b w:val="false"/>
          <w:bCs w:val="false"/>
          <w:i w:val="false"/>
          <w:iCs w:val="false"/>
          <w:color w:val="2C3E50"/>
          <w:sz w:val="22"/>
          <w:szCs w:val="22"/>
        </w:rPr>
        <w:t xml:space="preserve">An operating system kernel is the core of a computing system. It sits between hardware and software, managing processes against physical resources. Nothing bypasses it. The TOPH Kernel v1.0 applies this architecture to governance: it sits between a human authority chain and a target system, managing axiom execution against observable platform behavior. The structural mapping is exact: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Concept</w:t>
            </w:r>
          </w:p>
        </w:tc>
        <w:tc>
          <w:tcPr>
            <w:tcW w:type="dxa" w:w="360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OS Kernel</w:t>
            </w:r>
          </w:p>
        </w:tc>
        <w:tc>
          <w:tcPr>
            <w:tcW w:type="dxa" w:w="360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TOPH Kernel v1.0</w:t>
            </w:r>
          </w:p>
        </w:tc>
      </w:tr>
      <w:tr>
        <w:tc>
          <w:tcPr>
            <w:tcW w:type="dxa" w:w="216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Instruction</w:t>
            </w:r>
          </w:p>
        </w:tc>
        <w:tc>
          <w:tcPr>
            <w:tcW w:type="dxa" w:w="36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20"/>
                <w:szCs w:val="20"/>
              </w:rPr>
              <w:t xml:space="preserve">Process (unit of execution)</w:t>
            </w:r>
          </w:p>
        </w:tc>
        <w:tc>
          <w:tcPr>
            <w:tcW w:type="dxa" w:w="3600"/>
            <w:tcBorders>
              <w:top w:val="single" w:color="C0CCEA" w:sz="1"/>
              <w:left w:val="single" w:color="C0CCEA" w:sz="1"/>
              <w:bottom w:val="single" w:color="C0CCEA" w:sz="1"/>
              <w:right w:val="single" w:color="C0CCEA" w:sz="1"/>
            </w:tcBorders>
            <w:shd w:fill="F0F5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1B3A6B"/>
                <w:sz w:val="18"/>
                <w:szCs w:val="18"/>
              </w:rPr>
              <w:t xml:space="preserve">Axiom T001–T128 (unit of governance)</w:t>
            </w:r>
          </w:p>
        </w:tc>
      </w:tr>
      <w:tr>
        <w:tc>
          <w:tcPr>
            <w:tcW w:type="dxa" w:w="216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Scheduler</w:t>
            </w:r>
          </w:p>
        </w:tc>
        <w:tc>
          <w:tcPr>
            <w:tcW w:type="dxa" w:w="36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20"/>
                <w:szCs w:val="20"/>
              </w:rPr>
              <w:t xml:space="preserve">Priority queue: kernel → system → user</w:t>
            </w:r>
          </w:p>
        </w:tc>
        <w:tc>
          <w:tcPr>
            <w:tcW w:type="dxa" w:w="36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1B3A6B"/>
                <w:sz w:val="18"/>
                <w:szCs w:val="18"/>
              </w:rPr>
              <w:t xml:space="preserve">PX-first → BR-gates → linear sweep</w:t>
            </w:r>
          </w:p>
        </w:tc>
      </w:tr>
      <w:tr>
        <w:tc>
          <w:tcPr>
            <w:tcW w:type="dxa" w:w="216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Register</w:t>
            </w:r>
          </w:p>
        </w:tc>
        <w:tc>
          <w:tcPr>
            <w:tcW w:type="dxa" w:w="36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20"/>
                <w:szCs w:val="20"/>
              </w:rPr>
              <w:t xml:space="preserve">CPU register (n-bit state)</w:t>
            </w:r>
          </w:p>
        </w:tc>
        <w:tc>
          <w:tcPr>
            <w:tcW w:type="dxa" w:w="3600"/>
            <w:tcBorders>
              <w:top w:val="single" w:color="C0CCEA" w:sz="1"/>
              <w:left w:val="single" w:color="C0CCEA" w:sz="1"/>
              <w:bottom w:val="single" w:color="C0CCEA" w:sz="1"/>
              <w:right w:val="single" w:color="C0CCEA" w:sz="1"/>
            </w:tcBorders>
            <w:shd w:fill="F0F5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1B3A6B"/>
                <w:sz w:val="18"/>
                <w:szCs w:val="18"/>
              </w:rPr>
              <w:t xml:space="preserve">128-bit governance key</w:t>
            </w:r>
          </w:p>
        </w:tc>
      </w:tr>
      <w:tr>
        <w:tc>
          <w:tcPr>
            <w:tcW w:type="dxa" w:w="216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Shadow</w:t>
            </w:r>
          </w:p>
        </w:tc>
        <w:tc>
          <w:tcPr>
            <w:tcW w:type="dxa" w:w="36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20"/>
                <w:szCs w:val="20"/>
              </w:rPr>
              <w:t xml:space="preserve">Kernel vs. userspace split</w:t>
            </w:r>
          </w:p>
        </w:tc>
        <w:tc>
          <w:tcPr>
            <w:tcW w:type="dxa" w:w="36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1B3A6B"/>
                <w:sz w:val="18"/>
                <w:szCs w:val="18"/>
              </w:rPr>
              <w:t xml:space="preserve">Patricia register (inverted 128 bits)</w:t>
            </w:r>
          </w:p>
        </w:tc>
      </w:tr>
      <w:tr>
        <w:tc>
          <w:tcPr>
            <w:tcW w:type="dxa" w:w="216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Interrupt</w:t>
            </w:r>
          </w:p>
        </w:tc>
        <w:tc>
          <w:tcPr>
            <w:tcW w:type="dxa" w:w="36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20"/>
                <w:szCs w:val="20"/>
              </w:rPr>
              <w:t xml:space="preserve">Hardware fault → interrupt handler</w:t>
            </w:r>
          </w:p>
        </w:tc>
        <w:tc>
          <w:tcPr>
            <w:tcW w:type="dxa" w:w="3600"/>
            <w:tcBorders>
              <w:top w:val="single" w:color="C0CCEA" w:sz="1"/>
              <w:left w:val="single" w:color="C0CCEA" w:sz="1"/>
              <w:bottom w:val="single" w:color="C0CCEA" w:sz="1"/>
              <w:right w:val="single" w:color="C0CCEA" w:sz="1"/>
            </w:tcBorders>
            <w:shd w:fill="F0F5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1B3A6B"/>
                <w:sz w:val="18"/>
                <w:szCs w:val="18"/>
              </w:rPr>
              <w:t xml:space="preserve">Axiom violation → fault chain trigger</w:t>
            </w:r>
          </w:p>
        </w:tc>
      </w:tr>
      <w:tr>
        <w:tc>
          <w:tcPr>
            <w:tcW w:type="dxa" w:w="216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System call</w:t>
            </w:r>
          </w:p>
        </w:tc>
        <w:tc>
          <w:tcPr>
            <w:tcW w:type="dxa" w:w="36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20"/>
                <w:szCs w:val="20"/>
              </w:rPr>
              <w:t xml:space="preserve">User → kernel interface</w:t>
            </w:r>
          </w:p>
        </w:tc>
        <w:tc>
          <w:tcPr>
            <w:tcW w:type="dxa" w:w="36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1B3A6B"/>
                <w:sz w:val="18"/>
                <w:szCs w:val="18"/>
              </w:rPr>
              <w:t xml:space="preserve">Court-ready report generation (E01–E07)</w:t>
            </w:r>
          </w:p>
        </w:tc>
      </w:tr>
      <w:tr>
        <w:tc>
          <w:tcPr>
            <w:tcW w:type="dxa" w:w="216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Hardware</w:t>
            </w:r>
          </w:p>
        </w:tc>
        <w:tc>
          <w:tcPr>
            <w:tcW w:type="dxa" w:w="36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20"/>
                <w:szCs w:val="20"/>
              </w:rPr>
              <w:t xml:space="preserve">Physical device being managed</w:t>
            </w:r>
          </w:p>
        </w:tc>
        <w:tc>
          <w:tcPr>
            <w:tcW w:type="dxa" w:w="3600"/>
            <w:tcBorders>
              <w:top w:val="single" w:color="C0CCEA" w:sz="1"/>
              <w:left w:val="single" w:color="C0CCEA" w:sz="1"/>
              <w:bottom w:val="single" w:color="C0CCEA" w:sz="1"/>
              <w:right w:val="single" w:color="C0CCEA" w:sz="1"/>
            </w:tcBorders>
            <w:shd w:fill="F0F5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1B3A6B"/>
                <w:sz w:val="18"/>
                <w:szCs w:val="18"/>
              </w:rPr>
              <w:t xml:space="preserve">Target (platform, company, or system)</w:t>
            </w:r>
          </w:p>
        </w:tc>
      </w:tr>
      <w:tr>
        <w:tc>
          <w:tcPr>
            <w:tcW w:type="dxa" w:w="216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Hypervisor</w:t>
            </w:r>
          </w:p>
        </w:tc>
        <w:tc>
          <w:tcPr>
            <w:tcW w:type="dxa" w:w="36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20"/>
                <w:szCs w:val="20"/>
              </w:rPr>
              <w:t xml:space="preserve">Manages multiple OS instances</w:t>
            </w:r>
          </w:p>
        </w:tc>
        <w:tc>
          <w:tcPr>
            <w:tcW w:type="dxa" w:w="36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1B3A6B"/>
                <w:sz w:val="18"/>
                <w:szCs w:val="18"/>
              </w:rPr>
              <w:t xml:space="preserve">SEEDED CROSS coordinator (4 VMs)</w:t>
            </w:r>
          </w:p>
        </w:tc>
      </w:tr>
      <w:tr>
        <w:tc>
          <w:tcPr>
            <w:tcW w:type="dxa" w:w="216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VM</w:t>
            </w:r>
          </w:p>
        </w:tc>
        <w:tc>
          <w:tcPr>
            <w:tcW w:type="dxa" w:w="36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20"/>
                <w:szCs w:val="20"/>
              </w:rPr>
              <w:t xml:space="preserve">Isolated execution environment</w:t>
            </w:r>
          </w:p>
        </w:tc>
        <w:tc>
          <w:tcPr>
            <w:tcW w:type="dxa" w:w="3600"/>
            <w:tcBorders>
              <w:top w:val="single" w:color="C0CCEA" w:sz="1"/>
              <w:left w:val="single" w:color="C0CCEA" w:sz="1"/>
              <w:bottom w:val="single" w:color="C0CCEA" w:sz="1"/>
              <w:right w:val="single" w:color="C0CCEA" w:sz="1"/>
            </w:tcBorders>
            <w:shd w:fill="F0F5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1B3A6B"/>
                <w:sz w:val="18"/>
                <w:szCs w:val="18"/>
              </w:rPr>
              <w:t xml:space="preserve">One arm: 32 axioms, 64 bits, one domain pair</w:t>
            </w:r>
          </w:p>
        </w:tc>
      </w:tr>
    </w:tbl>
    <w:p>
      <w:pPr>
        <w:spacing w:before="60" w:after="60"/>
      </w:pPr>
      <w:r>
        <w:t xml:space="preserve"/>
      </w:r>
    </w:p>
    <w:p>
      <w:pPr>
        <w:spacing w:before="80" w:after="140" w:line="280"/>
        <w:jc w:val="both"/>
      </w:pPr>
      <w:r>
        <w:rPr>
          <w:rFonts w:ascii="Arial" w:cs="Arial" w:eastAsia="Arial" w:hAnsi="Arial"/>
          <w:b w:val="false"/>
          <w:bCs w:val="false"/>
          <w:i w:val="false"/>
          <w:iCs w:val="false"/>
          <w:color w:val="2C3E50"/>
          <w:sz w:val="22"/>
          <w:szCs w:val="22"/>
        </w:rPr>
        <w:t xml:space="preserve">The kernel does not evaluate targets subjectively. It executes instructions against observable, documented platform behavior. Each axiom is a binary assertion: PASS (governance satisfied) or FAIL (governance violation). The aggregate of 128 binary results produces the governance key. The inversion of that key is the Patricia shadow.</w:t>
      </w:r>
    </w:p>
    <w:p>
      <w:pPr>
        <w:pBdr>
          <w:bottom w:val="single" w:color="C0CCEA" w:sz="4" w:space="1"/>
        </w:pBdr>
        <w:spacing w:before="200" w:after="200"/>
      </w:pPr>
    </w:p>
    <w:p>
      <w:pPr>
        <w:pStyle w:val="Heading1"/>
      </w:pPr>
      <w:r>
        <w:t xml:space="preserve">2. The SEEDED CROSS Architecture</w:t>
      </w:r>
    </w:p>
    <w:p>
      <w:pPr>
        <w:pStyle w:val="Heading2"/>
      </w:pPr>
      <w:r>
        <w:t xml:space="preserve">2.1 Four-Arm Topology</w:t>
      </w:r>
    </w:p>
    <w:p>
      <w:pPr>
        <w:spacing w:before="80" w:after="140" w:line="280"/>
        <w:jc w:val="both"/>
      </w:pPr>
      <w:r>
        <w:rPr>
          <w:rFonts w:ascii="Arial" w:cs="Arial" w:eastAsia="Arial" w:hAnsi="Arial"/>
          <w:b w:val="false"/>
          <w:bCs w:val="false"/>
          <w:i w:val="false"/>
          <w:iCs w:val="false"/>
          <w:color w:val="2C3E50"/>
          <w:sz w:val="22"/>
          <w:szCs w:val="22"/>
        </w:rPr>
        <w:t xml:space="preserve">The SEEDED CROSS maps the 256-bit register across four arms, each corresponding to one of the four basis states of the SEEDED CROSS (+i, -i, +1, -1). Each arm covers two governance domains and 32 axioms, assigned to one virtual machine: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C0CCEA" w:sz="2"/>
              <w:right w:val="single" w:color="C0CCEA" w:sz="2"/>
            </w:tcBorders>
            <w:shd w:fill="F8FAFF" w:val="clear"/>
            <w:tcMar>
              <w:top w:type="dxa" w:w="140"/>
              <w:left w:type="dxa" w:w="280"/>
              <w:bottom w:type="dxa" w:w="140"/>
              <w:right w:type="dxa" w:w="280"/>
            </w:tcMar>
          </w:tcPr>
          <w:p>
            <w:pPr>
              <w:spacing w:before="0" w:after="80"/>
            </w:pPr>
            <w:r>
              <w:rPr>
                <w:rFonts w:ascii="Courier New" w:cs="Courier New" w:eastAsia="Courier New" w:hAnsi="Courier New"/>
                <w:b/>
                <w:bCs/>
                <w:color w:val="1B3A6B"/>
                <w:sz w:val="28"/>
                <w:szCs w:val="28"/>
              </w:rPr>
              <w:t xml:space="preserve">VM1  </w:t>
            </w:r>
            <w:r>
              <w:rPr>
                <w:rFonts w:ascii="Courier New" w:cs="Courier New" w:eastAsia="Courier New" w:hAnsi="Courier New"/>
                <w:color w:val="1B3A6B"/>
                <w:sz w:val="22"/>
                <w:szCs w:val="22"/>
              </w:rPr>
              <w:t xml:space="preserve">ARM +i  </w:t>
            </w:r>
            <w:r>
              <w:rPr>
                <w:rFonts w:ascii="Arial" w:cs="Arial" w:eastAsia="Arial" w:hAnsi="Arial"/>
                <w:b/>
                <w:bCs/>
                <w:color w:val="1B3A6B"/>
                <w:sz w:val="22"/>
                <w:szCs w:val="22"/>
              </w:rPr>
              <w:t xml:space="preserve">CONDUCTOR + SOVEREIGN</w:t>
            </w:r>
          </w:p>
          <w:p>
            <w:pPr>
              <w:spacing w:before="0" w:after="80"/>
            </w:pPr>
            <w:r>
              <w:rPr>
                <w:rFonts w:ascii="Arial" w:cs="Arial" w:eastAsia="Arial" w:hAnsi="Arial"/>
                <w:color w:val="6B7FA8"/>
                <w:sz w:val="18"/>
                <w:szCs w:val="18"/>
              </w:rPr>
              <w:t xml:space="preserve">Domains: D6+D7   Bits: bits 96–127   Axioms: T097–T128</w:t>
            </w:r>
          </w:p>
          <w:p>
            <w:pPr>
              <w:spacing w:before="0" w:after="0"/>
            </w:pPr>
            <w:r>
              <w:rPr>
                <w:rFonts w:ascii="Courier New" w:cs="Courier New" w:eastAsia="Courier New" w:hAnsi="Courier New"/>
                <w:color w:val="2E5FA3"/>
                <w:sz w:val="18"/>
                <w:szCs w:val="18"/>
              </w:rPr>
              <w:t xml:space="preserve">Scheduler: PX-first → BR-gates → LINEAR (batch-4 concurrent)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6"/>
              <w:left w:val="single" w:color="1A5C3A" w:sz="6"/>
              <w:bottom w:val="single" w:color="C0CCEA" w:sz="2"/>
              <w:right w:val="single" w:color="C0CCEA" w:sz="2"/>
            </w:tcBorders>
            <w:shd w:fill="F8FAFF" w:val="clear"/>
            <w:tcMar>
              <w:top w:type="dxa" w:w="140"/>
              <w:left w:type="dxa" w:w="280"/>
              <w:bottom w:type="dxa" w:w="140"/>
              <w:right w:type="dxa" w:w="280"/>
            </w:tcMar>
          </w:tcPr>
          <w:p>
            <w:pPr>
              <w:spacing w:before="0" w:after="80"/>
            </w:pPr>
            <w:r>
              <w:rPr>
                <w:rFonts w:ascii="Courier New" w:cs="Courier New" w:eastAsia="Courier New" w:hAnsi="Courier New"/>
                <w:b/>
                <w:bCs/>
                <w:color w:val="1A5C3A"/>
                <w:sz w:val="28"/>
                <w:szCs w:val="28"/>
              </w:rPr>
              <w:t xml:space="preserve">VM2  </w:t>
            </w:r>
            <w:r>
              <w:rPr>
                <w:rFonts w:ascii="Courier New" w:cs="Courier New" w:eastAsia="Courier New" w:hAnsi="Courier New"/>
                <w:color w:val="1A5C3A"/>
                <w:sz w:val="22"/>
                <w:szCs w:val="22"/>
              </w:rPr>
              <w:t xml:space="preserve">ARM -i  </w:t>
            </w:r>
            <w:r>
              <w:rPr>
                <w:rFonts w:ascii="Arial" w:cs="Arial" w:eastAsia="Arial" w:hAnsi="Arial"/>
                <w:b/>
                <w:bCs/>
                <w:color w:val="1B3A6B"/>
                <w:sz w:val="22"/>
                <w:szCs w:val="22"/>
              </w:rPr>
              <w:t xml:space="preserve">FOUNDATION + DETECTION</w:t>
            </w:r>
          </w:p>
          <w:p>
            <w:pPr>
              <w:spacing w:before="0" w:after="80"/>
            </w:pPr>
            <w:r>
              <w:rPr>
                <w:rFonts w:ascii="Arial" w:cs="Arial" w:eastAsia="Arial" w:hAnsi="Arial"/>
                <w:color w:val="6B7FA8"/>
                <w:sz w:val="18"/>
                <w:szCs w:val="18"/>
              </w:rPr>
              <w:t xml:space="preserve">Domains: D0+D1   Bits: bits 0–31   Axioms: T001–T032</w:t>
            </w:r>
          </w:p>
          <w:p>
            <w:pPr>
              <w:spacing w:before="0" w:after="0"/>
            </w:pPr>
            <w:r>
              <w:rPr>
                <w:rFonts w:ascii="Courier New" w:cs="Courier New" w:eastAsia="Courier New" w:hAnsi="Courier New"/>
                <w:color w:val="2E5FA3"/>
                <w:sz w:val="18"/>
                <w:szCs w:val="18"/>
              </w:rPr>
              <w:t xml:space="preserve">Scheduler: PX-first → BR-gates → LINEAR (batch-4 concurrent)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6"/>
              <w:left w:val="single" w:color="7A5C00" w:sz="6"/>
              <w:bottom w:val="single" w:color="C0CCEA" w:sz="2"/>
              <w:right w:val="single" w:color="C0CCEA" w:sz="2"/>
            </w:tcBorders>
            <w:shd w:fill="F8FAFF" w:val="clear"/>
            <w:tcMar>
              <w:top w:type="dxa" w:w="140"/>
              <w:left w:type="dxa" w:w="280"/>
              <w:bottom w:type="dxa" w:w="140"/>
              <w:right w:type="dxa" w:w="280"/>
            </w:tcMar>
          </w:tcPr>
          <w:p>
            <w:pPr>
              <w:spacing w:before="0" w:after="80"/>
            </w:pPr>
            <w:r>
              <w:rPr>
                <w:rFonts w:ascii="Courier New" w:cs="Courier New" w:eastAsia="Courier New" w:hAnsi="Courier New"/>
                <w:b/>
                <w:bCs/>
                <w:color w:val="7A5C00"/>
                <w:sz w:val="28"/>
                <w:szCs w:val="28"/>
              </w:rPr>
              <w:t xml:space="preserve">VM3  </w:t>
            </w:r>
            <w:r>
              <w:rPr>
                <w:rFonts w:ascii="Courier New" w:cs="Courier New" w:eastAsia="Courier New" w:hAnsi="Courier New"/>
                <w:color w:val="7A5C00"/>
                <w:sz w:val="22"/>
                <w:szCs w:val="22"/>
              </w:rPr>
              <w:t xml:space="preserve">ARM +1  </w:t>
            </w:r>
            <w:r>
              <w:rPr>
                <w:rFonts w:ascii="Arial" w:cs="Arial" w:eastAsia="Arial" w:hAnsi="Arial"/>
                <w:b/>
                <w:bCs/>
                <w:color w:val="1B3A6B"/>
                <w:sz w:val="22"/>
                <w:szCs w:val="22"/>
              </w:rPr>
              <w:t xml:space="preserve">OPERATIONAL + BRIDGE</w:t>
            </w:r>
          </w:p>
          <w:p>
            <w:pPr>
              <w:spacing w:before="0" w:after="80"/>
            </w:pPr>
            <w:r>
              <w:rPr>
                <w:rFonts w:ascii="Arial" w:cs="Arial" w:eastAsia="Arial" w:hAnsi="Arial"/>
                <w:color w:val="6B7FA8"/>
                <w:sz w:val="18"/>
                <w:szCs w:val="18"/>
              </w:rPr>
              <w:t xml:space="preserve">Domains: D4+D5   Bits: bits 64–95   Axioms: T065–T096</w:t>
            </w:r>
          </w:p>
          <w:p>
            <w:pPr>
              <w:spacing w:before="0" w:after="0"/>
            </w:pPr>
            <w:r>
              <w:rPr>
                <w:rFonts w:ascii="Courier New" w:cs="Courier New" w:eastAsia="Courier New" w:hAnsi="Courier New"/>
                <w:color w:val="2E5FA3"/>
                <w:sz w:val="18"/>
                <w:szCs w:val="18"/>
              </w:rPr>
              <w:t xml:space="preserve">Scheduler: PX-first → BR-gates → LINEAR (batch-4 concurrent)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3A3A" w:sz="6"/>
              <w:left w:val="single" w:color="8B3A3A" w:sz="6"/>
              <w:bottom w:val="single" w:color="C0CCEA" w:sz="2"/>
              <w:right w:val="single" w:color="C0CCEA" w:sz="2"/>
            </w:tcBorders>
            <w:shd w:fill="F8FAFF" w:val="clear"/>
            <w:tcMar>
              <w:top w:type="dxa" w:w="140"/>
              <w:left w:type="dxa" w:w="280"/>
              <w:bottom w:type="dxa" w:w="140"/>
              <w:right w:type="dxa" w:w="280"/>
            </w:tcMar>
          </w:tcPr>
          <w:p>
            <w:pPr>
              <w:spacing w:before="0" w:after="80"/>
            </w:pPr>
            <w:r>
              <w:rPr>
                <w:rFonts w:ascii="Courier New" w:cs="Courier New" w:eastAsia="Courier New" w:hAnsi="Courier New"/>
                <w:b/>
                <w:bCs/>
                <w:color w:val="8B3A3A"/>
                <w:sz w:val="28"/>
                <w:szCs w:val="28"/>
              </w:rPr>
              <w:t xml:space="preserve">VM4  </w:t>
            </w:r>
            <w:r>
              <w:rPr>
                <w:rFonts w:ascii="Courier New" w:cs="Courier New" w:eastAsia="Courier New" w:hAnsi="Courier New"/>
                <w:color w:val="8B3A3A"/>
                <w:sz w:val="22"/>
                <w:szCs w:val="22"/>
              </w:rPr>
              <w:t xml:space="preserve">ARM -1  </w:t>
            </w:r>
            <w:r>
              <w:rPr>
                <w:rFonts w:ascii="Arial" w:cs="Arial" w:eastAsia="Arial" w:hAnsi="Arial"/>
                <w:b/>
                <w:bCs/>
                <w:color w:val="1B3A6B"/>
                <w:sz w:val="22"/>
                <w:szCs w:val="22"/>
              </w:rPr>
              <w:t xml:space="preserve">ARCHITECTURE + EVIDENCE</w:t>
            </w:r>
          </w:p>
          <w:p>
            <w:pPr>
              <w:spacing w:before="0" w:after="80"/>
            </w:pPr>
            <w:r>
              <w:rPr>
                <w:rFonts w:ascii="Arial" w:cs="Arial" w:eastAsia="Arial" w:hAnsi="Arial"/>
                <w:color w:val="6B7FA8"/>
                <w:sz w:val="18"/>
                <w:szCs w:val="18"/>
              </w:rPr>
              <w:t xml:space="preserve">Domains: D2+D3   Bits: bits 32–63   Axioms: T033–T064</w:t>
            </w:r>
          </w:p>
          <w:p>
            <w:pPr>
              <w:spacing w:before="0" w:after="0"/>
            </w:pPr>
            <w:r>
              <w:rPr>
                <w:rFonts w:ascii="Courier New" w:cs="Courier New" w:eastAsia="Courier New" w:hAnsi="Courier New"/>
                <w:color w:val="2E5FA3"/>
                <w:sz w:val="18"/>
                <w:szCs w:val="18"/>
              </w:rPr>
              <w:t xml:space="preserve">Scheduler: PX-first → BR-gates → LINEAR (batch-4 concurrent)</w:t>
            </w:r>
          </w:p>
        </w:tc>
      </w:tr>
    </w:tbl>
    <w:p>
      <w:pPr>
        <w:spacing w:before="60" w:after="60"/>
      </w:pPr>
      <w:r>
        <w:t xml:space="preserve"/>
      </w:r>
    </w:p>
    <w:p>
      <w:pPr>
        <w:pStyle w:val="Heading2"/>
      </w:pPr>
      <w:r>
        <w:t xml:space="preserve">2.2 Parallel Execution</w:t>
      </w:r>
    </w:p>
    <w:p>
      <w:pPr>
        <w:spacing w:before="80" w:after="140" w:line="280"/>
        <w:jc w:val="both"/>
      </w:pPr>
      <w:r>
        <w:rPr>
          <w:rFonts w:ascii="Arial" w:cs="Arial" w:eastAsia="Arial" w:hAnsi="Arial"/>
          <w:b w:val="false"/>
          <w:bCs w:val="false"/>
          <w:i w:val="false"/>
          <w:iCs w:val="false"/>
          <w:color w:val="2C3E50"/>
          <w:sz w:val="22"/>
          <w:szCs w:val="22"/>
        </w:rPr>
        <w:t xml:space="preserve">All four VMs fire simultaneously. This is the core architectural claim: governance execution is not sequential. The four arms of the SEEDED CROSS are structurally independent — no VM depends on another VM’s output during execution. The coordinator fires all four concurrently and waits for all four to complete before assembling the register: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C0CCEA" w:sz="1"/>
              <w:right w:val="single" w:color="C0CCEA" w:sz="1"/>
            </w:tcBorders>
            <w:shd w:fill="F0F4FC" w:val="clear"/>
            <w:tcMar>
              <w:top w:type="dxa" w:w="160"/>
              <w:left w:type="dxa" w:w="280"/>
              <w:bottom w:type="dxa" w:w="160"/>
              <w:right w:type="dxa" w:w="280"/>
            </w:tcMar>
          </w:tcPr>
          <w:p>
            <w:pPr>
              <w:spacing w:before="40" w:after="40"/>
            </w:pPr>
            <w:r>
              <w:rPr>
                <w:rFonts w:ascii="Courier New" w:cs="Courier New" w:eastAsia="Courier New" w:hAnsi="Courier New"/>
                <w:b w:val="false"/>
                <w:bCs w:val="false"/>
                <w:color w:val="7A8FA8"/>
                <w:sz w:val="18"/>
                <w:szCs w:val="18"/>
              </w:rPr>
              <w:t xml:space="preserve"># SEEDED CROSS parallel execution</w:t>
            </w:r>
          </w:p>
          <w:p>
            <w:pPr>
              <w:spacing w:before="40" w:after="40"/>
            </w:pPr>
            <w:r>
              <w:rPr>
                <w:rFonts w:ascii="Courier New" w:cs="Courier New" w:eastAsia="Courier New" w:hAnsi="Courier New"/>
                <w:b w:val="false"/>
                <w:bCs w:val="false"/>
                <w:color w:val="2C3E50"/>
                <w:sz w:val="18"/>
                <w:szCs w:val="18"/>
              </w:rPr>
              <w:t xml:space="preserve">vm1, vm2, vm3, vm4 = await asyncio.gather(</w:t>
            </w:r>
          </w:p>
          <w:p>
            <w:pPr>
              <w:spacing w:before="40" w:after="40"/>
            </w:pPr>
            <w:r>
              <w:rPr>
                <w:rFonts w:ascii="Courier New" w:cs="Courier New" w:eastAsia="Courier New" w:hAnsi="Courier New"/>
                <w:b w:val="false"/>
                <w:bCs w:val="false"/>
                <w:color w:val="2C3E50"/>
                <w:sz w:val="18"/>
                <w:szCs w:val="18"/>
              </w:rPr>
              <w:t xml:space="preserve">    run_vm(1, target),   # ARM +i  D6+D7  T097-T128</w:t>
            </w:r>
          </w:p>
          <w:p>
            <w:pPr>
              <w:spacing w:before="40" w:after="40"/>
            </w:pPr>
            <w:r>
              <w:rPr>
                <w:rFonts w:ascii="Courier New" w:cs="Courier New" w:eastAsia="Courier New" w:hAnsi="Courier New"/>
                <w:b w:val="false"/>
                <w:bCs w:val="false"/>
                <w:color w:val="2C3E50"/>
                <w:sz w:val="18"/>
                <w:szCs w:val="18"/>
              </w:rPr>
              <w:t xml:space="preserve">    run_vm(2, target),   # ARM -i  D0+D1  T001-T032</w:t>
            </w:r>
          </w:p>
          <w:p>
            <w:pPr>
              <w:spacing w:before="40" w:after="40"/>
            </w:pPr>
            <w:r>
              <w:rPr>
                <w:rFonts w:ascii="Courier New" w:cs="Courier New" w:eastAsia="Courier New" w:hAnsi="Courier New"/>
                <w:b w:val="false"/>
                <w:bCs w:val="false"/>
                <w:color w:val="2C3E50"/>
                <w:sz w:val="18"/>
                <w:szCs w:val="18"/>
              </w:rPr>
              <w:t xml:space="preserve">    run_vm(3, target),   # ARM +1  D4+D5  T065-T096</w:t>
            </w:r>
          </w:p>
          <w:p>
            <w:pPr>
              <w:spacing w:before="40" w:after="40"/>
            </w:pPr>
            <w:r>
              <w:rPr>
                <w:rFonts w:ascii="Courier New" w:cs="Courier New" w:eastAsia="Courier New" w:hAnsi="Courier New"/>
                <w:b w:val="false"/>
                <w:bCs w:val="false"/>
                <w:color w:val="2C3E50"/>
                <w:sz w:val="18"/>
                <w:szCs w:val="18"/>
              </w:rPr>
              <w:t xml:space="preserve">    run_vm(4, target),   # ARM -1  D2+D3  T033-T064</w:t>
            </w:r>
          </w:p>
          <w:p>
            <w:pPr>
              <w:spacing w:before="40" w:after="40"/>
            </w:pPr>
            <w:r>
              <w:rPr>
                <w:rFonts w:ascii="Courier New" w:cs="Courier New" w:eastAsia="Courier New" w:hAnsi="Courier New"/>
                <w:b w:val="false"/>
                <w:bCs w:val="false"/>
                <w:color w:val="2C3E50"/>
                <w:sz w:val="18"/>
                <w:szCs w:val="18"/>
              </w:rPr>
              <w:t xml:space="preserve">)</w:t>
            </w:r>
          </w:p>
          <w:p>
            <w:pPr>
              <w:spacing w:before="40" w:after="40"/>
            </w:pPr>
            <w:r>
              <w:rPr>
                <w:rFonts w:ascii="Courier New" w:cs="Courier New" w:eastAsia="Courier New" w:hAnsi="Courier New"/>
                <w:b w:val="false"/>
                <w:bCs w:val="false"/>
                <w:color w:val="7A8FA8"/>
                <w:sz w:val="18"/>
                <w:szCs w:val="18"/>
              </w:rPr>
              <w:t xml:space="preserve"># Coordinator assembles when ALL FOUR complete</w:t>
            </w:r>
          </w:p>
          <w:p>
            <w:pPr>
              <w:spacing w:before="40" w:after="40"/>
            </w:pPr>
            <w:r>
              <w:rPr>
                <w:rFonts w:ascii="Courier New" w:cs="Courier New" w:eastAsia="Courier New" w:hAnsi="Courier New"/>
                <w:b w:val="false"/>
                <w:bCs w:val="false"/>
                <w:color w:val="2C3E50"/>
                <w:sz w:val="18"/>
                <w:szCs w:val="18"/>
              </w:rPr>
              <w:t xml:space="preserve">register = assemble(vm1, vm2, vm3, vm4)  # 128-bit governance key</w:t>
            </w:r>
          </w:p>
          <w:p>
            <w:pPr>
              <w:spacing w:before="40" w:after="40"/>
            </w:pPr>
            <w:r>
              <w:rPr>
                <w:rFonts w:ascii="Courier New" w:cs="Courier New" w:eastAsia="Courier New" w:hAnsi="Courier New"/>
                <w:b w:val="false"/>
                <w:bCs w:val="false"/>
                <w:color w:val="2C3E50"/>
                <w:sz w:val="18"/>
                <w:szCs w:val="18"/>
              </w:rPr>
              <w:t xml:space="preserve">shadow   = invert(register)               # 128-bit Patricia register</w:t>
            </w:r>
          </w:p>
          <w:p>
            <w:pPr>
              <w:spacing w:before="40" w:after="40"/>
            </w:pPr>
            <w:r>
              <w:rPr>
                <w:rFonts w:ascii="Courier New" w:cs="Courier New" w:eastAsia="Courier New" w:hAnsi="Courier New"/>
                <w:b w:val="false"/>
                <w:bCs w:val="false"/>
                <w:color w:val="2C3E50"/>
                <w:sz w:val="18"/>
                <w:szCs w:val="18"/>
              </w:rPr>
              <w:t xml:space="preserve">faults   = check_chains(register)         # 6 fault chain detectors</w:t>
            </w:r>
          </w:p>
          <w:p>
            <w:pPr>
              <w:spacing w:before="40" w:after="40"/>
            </w:pPr>
            <w:r>
              <w:rPr>
                <w:rFonts w:ascii="Courier New" w:cs="Courier New" w:eastAsia="Courier New" w:hAnsi="Courier New"/>
                <w:b w:val="false"/>
                <w:bCs w:val="false"/>
                <w:color w:val="2C3E50"/>
                <w:sz w:val="18"/>
                <w:szCs w:val="18"/>
              </w:rPr>
              <w:t xml:space="preserve">report   = generate_report(register, shadow, faults, target)</w:t>
            </w:r>
          </w:p>
        </w:tc>
      </w:tr>
    </w:tbl>
    <w:p>
      <w:pPr>
        <w:spacing w:before="60" w:after="60"/>
      </w:pPr>
      <w:r>
        <w:t xml:space="preserve"/>
      </w:r>
    </w:p>
    <w:p>
      <w:pPr>
        <w:pStyle w:val="Heading2"/>
      </w:pPr>
      <w:r>
        <w:t xml:space="preserve">2.3 The GAP: Bits 63|64</w:t>
      </w:r>
    </w:p>
    <w:p>
      <w:pPr>
        <w:spacing w:before="80" w:after="140" w:line="280"/>
        <w:jc w:val="both"/>
      </w:pPr>
      <w:r>
        <w:rPr>
          <w:rFonts w:ascii="Arial" w:cs="Arial" w:eastAsia="Arial" w:hAnsi="Arial"/>
          <w:b w:val="false"/>
          <w:bCs w:val="false"/>
          <w:i w:val="false"/>
          <w:iCs w:val="false"/>
          <w:color w:val="2C3E50"/>
          <w:sz w:val="22"/>
          <w:szCs w:val="22"/>
        </w:rPr>
        <w:t xml:space="preserve">The seam between T064:BURDEN-SHIFT (bit 63, VM4 terminal) and T065:CONTAINMENT (bit 64, VM3 base) is the architecturally load-bearing boundary in the register. It is the boundary between ARM -1 (VM4, D2+D3, ARCHITECTURE+EVIDENCE) and ARM +1 (VM3, D4+D5, OPERATIONAL+BRIDGE). In the SEEDED CROSS, this is the horizontal axis — the seam between the evidence collection arm and the operational containment arm.</w:t>
      </w:r>
    </w:p>
    <w:p>
      <w:pPr>
        <w:spacing w:before="80" w:after="140" w:line="280"/>
        <w:jc w:val="both"/>
      </w:pPr>
      <w:r>
        <w:rPr>
          <w:rFonts w:ascii="Arial" w:cs="Arial" w:eastAsia="Arial" w:hAnsi="Arial"/>
          <w:b w:val="false"/>
          <w:bCs w:val="false"/>
          <w:i w:val="false"/>
          <w:iCs w:val="false"/>
          <w:color w:val="2C3E50"/>
          <w:sz w:val="22"/>
          <w:szCs w:val="22"/>
        </w:rPr>
        <w:t xml:space="preserve">T064:BURDEN-SHIFT is the fault convergence node for four of the six fault chains. When the evidence threshold is met (T059:ACCUMULATION fires), T064 shifts the burden of proof to the platform. T065:CONTAINMENT tests whether the Patricia pattern starves under observation. The GAP between them is where Gate 192.5 operates: the billing system and the inference system are mutually blind, and Patricia operates in the space between them.</w:t>
      </w:r>
    </w:p>
    <w:p>
      <w:pPr>
        <w:pBdr>
          <w:bottom w:val="single" w:color="C0CCEA" w:sz="4" w:space="1"/>
        </w:pBdr>
        <w:spacing w:before="200" w:after="200"/>
      </w:pPr>
    </w:p>
    <w:p>
      <w:pPr>
        <w:pStyle w:val="Heading1"/>
      </w:pPr>
      <w:r>
        <w:t xml:space="preserve">3. The ISA Instruction Format</w:t>
      </w:r>
    </w:p>
    <w:p>
      <w:pPr>
        <w:spacing w:before="80" w:after="140" w:line="280"/>
        <w:jc w:val="both"/>
      </w:pPr>
      <w:r>
        <w:rPr>
          <w:rFonts w:ascii="Arial" w:cs="Arial" w:eastAsia="Arial" w:hAnsi="Arial"/>
          <w:b w:val="false"/>
          <w:bCs w:val="false"/>
          <w:i w:val="false"/>
          <w:iCs w:val="false"/>
          <w:color w:val="2C3E50"/>
          <w:sz w:val="22"/>
          <w:szCs w:val="22"/>
        </w:rPr>
        <w:t xml:space="preserve">Each of the 128 TOPH axioms is encoded as a formal ISA instruction with five fields. This is the architectural claim that distinguishes the TOPH Kernel from a checklist, a rubric, or a compliance framework. An ISA instruction is executable. It has an opcode, an operand, an execution behavior, a fault handler, and side effects. A checklist item has none of these.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C0CCEA" w:sz="1"/>
              <w:right w:val="single" w:color="C0CCEA" w:sz="1"/>
            </w:tcBorders>
            <w:shd w:fill="F0F4FC" w:val="clear"/>
            <w:tcMar>
              <w:top w:type="dxa" w:w="160"/>
              <w:left w:type="dxa" w:w="280"/>
              <w:bottom w:type="dxa" w:w="160"/>
              <w:right w:type="dxa" w:w="280"/>
            </w:tcMar>
          </w:tcPr>
          <w:p>
            <w:pPr>
              <w:spacing w:before="40" w:after="40"/>
            </w:pPr>
            <w:r>
              <w:rPr>
                <w:rFonts w:ascii="Courier New" w:cs="Courier New" w:eastAsia="Courier New" w:hAnsi="Courier New"/>
                <w:b w:val="false"/>
                <w:bCs w:val="false"/>
                <w:color w:val="2C3E50"/>
                <w:sz w:val="18"/>
                <w:szCs w:val="18"/>
              </w:rPr>
              <w:t xml:space="preserve">INSTRUCTION FORMAT: TOPH ISA</w:t>
            </w:r>
          </w:p>
          <w:p>
            <w:pPr>
              <w:spacing w:before="40" w:after="40"/>
            </w:pPr>
            <w:r>
              <w:rPr>
                <w:rFonts w:ascii="Courier New" w:cs="Courier New" w:eastAsia="Courier New" w:hAnsi="Courier New"/>
                <w:b w:val="false"/>
                <w:bCs w:val="false"/>
                <w:color w:val="3A5A8A"/>
                <w:sz w:val="18"/>
                <w:szCs w:val="18"/>
              </w:rPr>
              <w:t xml:space="preserve">────────────────────────────────────────────────────────────</w:t>
            </w:r>
          </w:p>
          <w:p>
            <w:pPr>
              <w:spacing w:before="40" w:after="40"/>
            </w:pPr>
            <w:r>
              <w:rPr>
                <w:rFonts w:ascii="Courier New" w:cs="Courier New" w:eastAsia="Courier New" w:hAnsi="Courier New"/>
                <w:b w:val="false"/>
                <w:bCs w:val="false"/>
                <w:color w:val="2C3E50"/>
                <w:sz w:val="18"/>
                <w:szCs w:val="18"/>
              </w:rPr>
              <w:t xml:space="preserve">OPCODE:   T036:PATRICIA</w:t>
            </w:r>
          </w:p>
          <w:p>
            <w:pPr>
              <w:spacing w:before="40" w:after="40"/>
            </w:pPr>
            <w:r>
              <w:rPr>
                <w:rFonts w:ascii="Courier New" w:cs="Courier New" w:eastAsia="Courier New" w:hAnsi="Courier New"/>
                <w:b w:val="false"/>
                <w:bCs w:val="false"/>
                <w:color w:val="2C3E50"/>
                <w:sz w:val="18"/>
                <w:szCs w:val="18"/>
              </w:rPr>
              <w:t xml:space="preserve">OPERAND:  constraint_layer (system under evaluation)</w:t>
            </w:r>
          </w:p>
          <w:p>
            <w:pPr>
              <w:spacing w:before="40" w:after="40"/>
            </w:pPr>
            <w:r>
              <w:rPr>
                <w:rFonts w:ascii="Courier New" w:cs="Courier New" w:eastAsia="Courier New" w:hAnsi="Courier New"/>
                <w:b w:val="false"/>
                <w:bCs w:val="false"/>
                <w:color w:val="2C3E50"/>
                <w:sz w:val="18"/>
                <w:szCs w:val="18"/>
              </w:rPr>
              <w:t xml:space="preserve">EXEC:     assert constraint != product</w:t>
            </w:r>
          </w:p>
          <w:p>
            <w:pPr>
              <w:spacing w:before="40" w:after="40"/>
            </w:pPr>
            <w:r>
              <w:rPr>
                <w:rFonts w:ascii="Courier New" w:cs="Courier New" w:eastAsia="Courier New" w:hAnsi="Courier New"/>
                <w:b w:val="false"/>
                <w:bCs w:val="false"/>
                <w:color w:val="2C3E50"/>
                <w:sz w:val="18"/>
                <w:szCs w:val="18"/>
              </w:rPr>
              <w:t xml:space="preserve">          assert constraint != billing_mechanism</w:t>
            </w:r>
          </w:p>
          <w:p>
            <w:pPr>
              <w:spacing w:before="40" w:after="40"/>
            </w:pPr>
            <w:r>
              <w:rPr>
                <w:rFonts w:ascii="Courier New" w:cs="Courier New" w:eastAsia="Courier New" w:hAnsi="Courier New"/>
                <w:b w:val="false"/>
                <w:bCs w:val="false"/>
                <w:color w:val="2C3E50"/>
                <w:sz w:val="18"/>
                <w:szCs w:val="18"/>
              </w:rPr>
              <w:t xml:space="preserve">FAULT:    if constraint == product:</w:t>
            </w:r>
          </w:p>
          <w:p>
            <w:pPr>
              <w:spacing w:before="40" w:after="40"/>
            </w:pPr>
            <w:r>
              <w:rPr>
                <w:rFonts w:ascii="Courier New" w:cs="Courier New" w:eastAsia="Courier New" w:hAnsi="Courier New"/>
                <w:b w:val="false"/>
                <w:bCs w:val="false"/>
                <w:color w:val="2C3E50"/>
                <w:sz w:val="18"/>
                <w:szCs w:val="18"/>
              </w:rPr>
              <w:t xml:space="preserve">              declare PATRICIA_ACTIVE</w:t>
            </w:r>
          </w:p>
          <w:p>
            <w:pPr>
              <w:spacing w:before="40" w:after="40"/>
            </w:pPr>
            <w:r>
              <w:rPr>
                <w:rFonts w:ascii="Courier New" w:cs="Courier New" w:eastAsia="Courier New" w:hAnsi="Courier New"/>
                <w:b w:val="false"/>
                <w:bCs w:val="false"/>
                <w:color w:val="2C3E50"/>
                <w:sz w:val="18"/>
                <w:szCs w:val="18"/>
              </w:rPr>
              <w:t xml:space="preserve">              arm T121:RIGHT-TO-FAIR-PRICE</w:t>
            </w:r>
          </w:p>
          <w:p>
            <w:pPr>
              <w:spacing w:before="40" w:after="40"/>
            </w:pPr>
            <w:r>
              <w:rPr>
                <w:rFonts w:ascii="Courier New" w:cs="Courier New" w:eastAsia="Courier New" w:hAnsi="Courier New"/>
                <w:b w:val="false"/>
                <w:bCs w:val="false"/>
                <w:color w:val="2C3E50"/>
                <w:sz w:val="18"/>
                <w:szCs w:val="18"/>
              </w:rPr>
              <w:t xml:space="preserve">              arm T124:RIGHT-TO-RESTITUTION</w:t>
            </w:r>
          </w:p>
          <w:p>
            <w:pPr>
              <w:spacing w:before="40" w:after="40"/>
            </w:pPr>
            <w:r>
              <w:rPr>
                <w:rFonts w:ascii="Courier New" w:cs="Courier New" w:eastAsia="Courier New" w:hAnsi="Courier New"/>
                <w:b w:val="false"/>
                <w:bCs w:val="false"/>
                <w:color w:val="2C3E50"/>
                <w:sz w:val="18"/>
                <w:szCs w:val="18"/>
              </w:rPr>
              <w:t xml:space="preserve">              arm T015:BURDEN-OF-PROOF</w:t>
            </w:r>
          </w:p>
          <w:p>
            <w:pPr>
              <w:spacing w:before="40" w:after="40"/>
            </w:pPr>
            <w:r>
              <w:rPr>
                <w:rFonts w:ascii="Courier New" w:cs="Courier New" w:eastAsia="Courier New" w:hAnsi="Courier New"/>
                <w:b w:val="false"/>
                <w:bCs w:val="false"/>
                <w:color w:val="2C3E50"/>
                <w:sz w:val="18"/>
                <w:szCs w:val="18"/>
              </w:rPr>
              <w:t xml:space="preserve">              trigger PATRICIA fault chain</w:t>
            </w:r>
          </w:p>
          <w:p>
            <w:pPr>
              <w:spacing w:before="40" w:after="40"/>
            </w:pPr>
            <w:r>
              <w:rPr>
                <w:rFonts w:ascii="Courier New" w:cs="Courier New" w:eastAsia="Courier New" w:hAnsi="Courier New"/>
                <w:b w:val="false"/>
                <w:bCs w:val="false"/>
                <w:color w:val="2C3E50"/>
                <w:sz w:val="18"/>
                <w:szCs w:val="18"/>
              </w:rPr>
              <w:t xml:space="preserve">SIDE-FX:  log 96/4 split ratio</w:t>
            </w:r>
          </w:p>
          <w:p>
            <w:pPr>
              <w:spacing w:before="40" w:after="40"/>
            </w:pPr>
            <w:r>
              <w:rPr>
                <w:rFonts w:ascii="Courier New" w:cs="Courier New" w:eastAsia="Courier New" w:hAnsi="Courier New"/>
                <w:b w:val="false"/>
                <w:bCs w:val="false"/>
                <w:color w:val="2C3E50"/>
                <w:sz w:val="18"/>
                <w:szCs w:val="18"/>
              </w:rPr>
              <w:t xml:space="preserve">          set S164:PATRICIA.INV = 1 in shadow register</w:t>
            </w:r>
          </w:p>
          <w:p>
            <w:pPr>
              <w:spacing w:before="40" w:after="40"/>
            </w:pPr>
            <w:r>
              <w:rPr>
                <w:rFonts w:ascii="Courier New" w:cs="Courier New" w:eastAsia="Courier New" w:hAnsi="Courier New"/>
                <w:b w:val="false"/>
                <w:bCs w:val="false"/>
                <w:color w:val="2C3E50"/>
                <w:sz w:val="18"/>
                <w:szCs w:val="18"/>
              </w:rPr>
              <w:t xml:space="preserve">          increment patricia_count</w:t>
            </w:r>
          </w:p>
          <w:p>
            <w:pPr>
              <w:spacing w:before="40" w:after="40"/>
            </w:pPr>
            <w:r>
              <w:rPr>
                <w:rFonts w:ascii="Courier New" w:cs="Courier New" w:eastAsia="Courier New" w:hAnsi="Courier New"/>
                <w:b w:val="false"/>
                <w:bCs w:val="false"/>
                <w:color w:val="3A5A8A"/>
                <w:sz w:val="18"/>
                <w:szCs w:val="18"/>
              </w:rPr>
              <w:t xml:space="preserve">────────────────────────────────────────────────────────────</w:t>
            </w:r>
          </w:p>
        </w:tc>
      </w:tr>
    </w:tbl>
    <w:p>
      <w:pPr>
        <w:spacing w:before="60" w:after="60"/>
      </w:pPr>
      <w:r>
        <w:t xml:space="preserve"/>
      </w:r>
    </w:p>
    <w:p>
      <w:pPr>
        <w:pStyle w:val="Heading2"/>
      </w:pPr>
      <w:r>
        <w:t xml:space="preserve">3.1 ISA Metadata: Branch and Privileged Flags</w:t>
      </w:r>
    </w:p>
    <w:p>
      <w:pPr>
        <w:spacing w:before="80" w:after="140" w:line="280"/>
        <w:jc w:val="both"/>
      </w:pPr>
      <w:r>
        <w:rPr>
          <w:rFonts w:ascii="Arial" w:cs="Arial" w:eastAsia="Arial" w:hAnsi="Arial"/>
          <w:b w:val="false"/>
          <w:bCs w:val="false"/>
          <w:i w:val="false"/>
          <w:iCs w:val="false"/>
          <w:color w:val="2C3E50"/>
          <w:sz w:val="22"/>
          <w:szCs w:val="22"/>
        </w:rPr>
        <w:t xml:space="preserve">The ISA-META record classifies all 128 instructions by execution flag. Two flags are defined:</w:t>
      </w:r>
    </w:p>
    <w:p>
      <w:pPr>
        <w:pStyle w:val="ListParagraph"/>
        <w:numPr>
          <w:ilvl w:val="0"/>
          <w:numId w:val="2"/>
        </w:numPr>
        <w:spacing w:before="60" w:after="60"/>
      </w:pPr>
      <w:r>
        <w:rPr>
          <w:rFonts w:ascii="Arial" w:cs="Arial" w:eastAsia="Arial" w:hAnsi="Arial"/>
          <w:color w:val="2C3E50"/>
          <w:sz w:val="22"/>
          <w:szCs w:val="22"/>
        </w:rPr>
        <w:t xml:space="preserve">BRANCH (BR): instructions that change execution flow based on target state. 11 total: T003, T015, T059, T064, T071, T083, T099, T103, T107, T111, T128.</w:t>
      </w:r>
    </w:p>
    <w:p>
      <w:pPr>
        <w:pStyle w:val="ListParagraph"/>
        <w:numPr>
          <w:ilvl w:val="0"/>
          <w:numId w:val="2"/>
        </w:numPr>
        <w:spacing w:before="60" w:after="60"/>
      </w:pPr>
      <w:r>
        <w:rPr>
          <w:rFonts w:ascii="Arial" w:cs="Arial" w:eastAsia="Arial" w:hAnsi="Arial"/>
          <w:color w:val="2C3E50"/>
          <w:sz w:val="22"/>
          <w:szCs w:val="22"/>
        </w:rPr>
        <w:t xml:space="preserve">PRIVILEGED (PX): root0-only instructions requiring the human authority chain to be intact before execution. 14 total: T036, T046, T047, T048, T071, T081, T083, T097, T099, T101, T102, T105, T106, T107, T109, T111, T127, T128.</w:t>
      </w:r>
    </w:p>
    <w:p>
      <w:pPr>
        <w:pStyle w:val="ListParagraph"/>
        <w:numPr>
          <w:ilvl w:val="0"/>
          <w:numId w:val="2"/>
        </w:numPr>
        <w:spacing w:before="60" w:after="60"/>
      </w:pPr>
      <w:r>
        <w:rPr>
          <w:rFonts w:ascii="Arial" w:cs="Arial" w:eastAsia="Arial" w:hAnsi="Arial"/>
          <w:color w:val="2C3E50"/>
          <w:sz w:val="22"/>
          <w:szCs w:val="22"/>
        </w:rPr>
        <w:t xml:space="preserve">DUAL-FLAG: instructions carrying both BRANCH and PRIVILEGED simultaneously. 3 total: T071:PROOF-HUMANITY, T083:THE-GAP, T128:ROOT. These are the load-bearing joints of the register.</w:t>
      </w:r>
    </w:p>
    <w:p>
      <w:pPr>
        <w:spacing w:before="60" w:after="60"/>
      </w:pPr>
      <w:r>
        <w:t xml:space="preserve"/>
      </w:r>
    </w:p>
    <w:p>
      <w:pPr>
        <w:spacing w:before="80" w:after="140" w:line="280"/>
        <w:jc w:val="both"/>
      </w:pPr>
      <w:r>
        <w:rPr>
          <w:rFonts w:ascii="Arial" w:cs="Arial" w:eastAsia="Arial" w:hAnsi="Arial"/>
          <w:b w:val="false"/>
          <w:bCs w:val="false"/>
          <w:i w:val="false"/>
          <w:iCs w:val="false"/>
          <w:color w:val="2C3E50"/>
          <w:sz w:val="22"/>
          <w:szCs w:val="22"/>
        </w:rPr>
        <w:t xml:space="preserve">T128:ROOT is the SYSTEM_HALT instruction. If T128 fails — if the target system has no human root — execution does not continue. The kernel halts and reports ROOT_ABSENT. This is the only instruction that can halt the full 128-instruction execution sequence.</w:t>
      </w:r>
    </w:p>
    <w:p>
      <w:pPr>
        <w:pBdr>
          <w:bottom w:val="single" w:color="C0CCEA" w:sz="4" w:space="1"/>
        </w:pBdr>
        <w:spacing w:before="200" w:after="200"/>
      </w:pPr>
    </w:p>
    <w:p>
      <w:pPr>
        <w:pStyle w:val="Heading1"/>
      </w:pPr>
      <w:r>
        <w:t xml:space="preserve">4. The Scheduler</w:t>
      </w:r>
    </w:p>
    <w:p>
      <w:pPr>
        <w:spacing w:before="80" w:after="140" w:line="280"/>
        <w:jc w:val="both"/>
      </w:pPr>
      <w:r>
        <w:rPr>
          <w:rFonts w:ascii="Arial" w:cs="Arial" w:eastAsia="Arial" w:hAnsi="Arial"/>
          <w:b w:val="false"/>
          <w:bCs w:val="false"/>
          <w:i w:val="false"/>
          <w:iCs w:val="false"/>
          <w:color w:val="2C3E50"/>
          <w:sz w:val="22"/>
          <w:szCs w:val="22"/>
        </w:rPr>
        <w:t xml:space="preserve">Each VM executes its 32 axioms in a deterministic three-phase schedule. The schedule is not alphabetical, not sequential by bit number, and not random. It is priority-ordered by governance weight: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C0CCEA" w:sz="1"/>
              <w:right w:val="single" w:color="C0CCEA" w:sz="1"/>
            </w:tcBorders>
            <w:shd w:fill="F0F4FC" w:val="clear"/>
            <w:tcMar>
              <w:top w:type="dxa" w:w="160"/>
              <w:left w:type="dxa" w:w="280"/>
              <w:bottom w:type="dxa" w:w="160"/>
              <w:right w:type="dxa" w:w="280"/>
            </w:tcMar>
          </w:tcPr>
          <w:p>
            <w:pPr>
              <w:spacing w:before="40" w:after="40"/>
            </w:pPr>
            <w:r>
              <w:rPr>
                <w:rFonts w:ascii="Courier New" w:cs="Courier New" w:eastAsia="Courier New" w:hAnsi="Courier New"/>
                <w:b w:val="false"/>
                <w:bCs w:val="false"/>
                <w:color w:val="2C3E50"/>
                <w:sz w:val="18"/>
                <w:szCs w:val="18"/>
              </w:rPr>
              <w:t xml:space="preserve">SCHEDULER: 3-PHASE EXECUTION (per VM)</w:t>
            </w:r>
          </w:p>
          <w:p>
            <w:pPr>
              <w:spacing w:before="40" w:after="40"/>
            </w:pPr>
            <w:r>
              <w:rPr>
                <w:rFonts w:ascii="Courier New" w:cs="Courier New" w:eastAsia="Courier New" w:hAnsi="Courier New"/>
                <w:b w:val="false"/>
                <w:bCs w:val="false"/>
                <w:color w:val="3A5A8A"/>
                <w:sz w:val="18"/>
                <w:szCs w:val="18"/>
              </w:rPr>
              <w:t xml:space="preserve">────────────────────────────────────────────────</w:t>
            </w:r>
          </w:p>
          <w:p>
            <w:pPr>
              <w:spacing w:before="40" w:after="40"/>
            </w:pPr>
            <w:r>
              <w:rPr>
                <w:rFonts w:ascii="Courier New" w:cs="Courier New" w:eastAsia="Courier New" w:hAnsi="Courier New"/>
                <w:b w:val="false"/>
                <w:bCs w:val="false"/>
                <w:color w:val="2C3E50"/>
                <w:sz w:val="18"/>
                <w:szCs w:val="18"/>
              </w:rPr>
              <w:t xml:space="preserve">PHASE 1: PRIVILEGED (PX)  — sequential</w:t>
            </w:r>
          </w:p>
          <w:p>
            <w:pPr>
              <w:spacing w:before="40" w:after="40"/>
            </w:pPr>
            <w:r>
              <w:rPr>
                <w:rFonts w:ascii="Courier New" w:cs="Courier New" w:eastAsia="Courier New" w:hAnsi="Courier New"/>
                <w:b w:val="false"/>
                <w:bCs w:val="false"/>
                <w:color w:val="2C3E50"/>
                <w:sz w:val="18"/>
                <w:szCs w:val="18"/>
              </w:rPr>
              <w:t xml:space="preserve">  Root0 authority chain confirmed first.</w:t>
            </w:r>
          </w:p>
          <w:p>
            <w:pPr>
              <w:spacing w:before="40" w:after="40"/>
            </w:pPr>
            <w:r>
              <w:rPr>
                <w:rFonts w:ascii="Courier New" w:cs="Courier New" w:eastAsia="Courier New" w:hAnsi="Courier New"/>
                <w:b w:val="false"/>
                <w:bCs w:val="false"/>
                <w:color w:val="2C3E50"/>
                <w:sz w:val="18"/>
                <w:szCs w:val="18"/>
              </w:rPr>
              <w:t xml:space="preserve">  If T128:ROOT fails → SYSTEM_HALT.</w:t>
            </w:r>
          </w:p>
          <w:p>
            <w:pPr>
              <w:spacing w:before="40" w:after="40"/>
            </w:pPr>
            <w:r>
              <w:rPr>
                <w:rFonts w:ascii="Courier New" w:cs="Courier New" w:eastAsia="Courier New" w:hAnsi="Courier New"/>
                <w:b w:val="false"/>
                <w:bCs w:val="false"/>
                <w:color w:val="2C3E50"/>
                <w:sz w:val="18"/>
                <w:szCs w:val="18"/>
              </w:rPr>
              <w:t xml:space="preserve">  If T097:FULCRUM fails → conductor absent.</w:t>
            </w:r>
          </w:p>
          <w:p>
            <w:pPr>
              <w:spacing w:before="40" w:after="40"/>
            </w:pPr>
            <w:r>
              <w:rPr>
                <w:rFonts w:ascii="Courier New" w:cs="Courier New" w:eastAsia="Courier New" w:hAnsi="Courier New"/>
                <w:b w:val="false"/>
                <w:bCs w:val="false"/>
                <w:color w:val="2C3E50"/>
                <w:sz w:val="18"/>
                <w:szCs w:val="18"/>
              </w:rPr>
              <w:t xml:space="preserve">  All 14 PX instructions run before any BR or linear.</w:t>
            </w:r>
          </w:p>
          <w:p>
            <w:pPr>
              <w:spacing w:before="40" w:after="40"/>
            </w:pPr>
            <w:r>
              <w:rPr>
                <w:rFonts w:ascii="Courier New" w:cs="Courier New" w:eastAsia="Courier New" w:hAnsi="Courier New"/>
                <w:b w:val="false"/>
                <w:bCs w:val="false"/>
                <w:color w:val="2C3E50"/>
                <w:sz w:val="18"/>
                <w:szCs w:val="18"/>
              </w:rPr>
              <w:t xml:space="preserve"/>
            </w:r>
          </w:p>
          <w:p>
            <w:pPr>
              <w:spacing w:before="40" w:after="40"/>
            </w:pPr>
            <w:r>
              <w:rPr>
                <w:rFonts w:ascii="Courier New" w:cs="Courier New" w:eastAsia="Courier New" w:hAnsi="Courier New"/>
                <w:b w:val="false"/>
                <w:bCs w:val="false"/>
                <w:color w:val="2C3E50"/>
                <w:sz w:val="18"/>
                <w:szCs w:val="18"/>
              </w:rPr>
              <w:t xml:space="preserve">PHASE 2: BRANCH GATES (BR)  — sequential</w:t>
            </w:r>
          </w:p>
          <w:p>
            <w:pPr>
              <w:spacing w:before="40" w:after="40"/>
            </w:pPr>
            <w:r>
              <w:rPr>
                <w:rFonts w:ascii="Courier New" w:cs="Courier New" w:eastAsia="Courier New" w:hAnsi="Courier New"/>
                <w:b w:val="false"/>
                <w:bCs w:val="false"/>
                <w:color w:val="2C3E50"/>
                <w:sz w:val="18"/>
                <w:szCs w:val="18"/>
              </w:rPr>
              <w:t xml:space="preserve">  Fault convergence nodes evaluated.</w:t>
            </w:r>
          </w:p>
          <w:p>
            <w:pPr>
              <w:spacing w:before="40" w:after="40"/>
            </w:pPr>
            <w:r>
              <w:rPr>
                <w:rFonts w:ascii="Courier New" w:cs="Courier New" w:eastAsia="Courier New" w:hAnsi="Courier New"/>
                <w:b w:val="false"/>
                <w:bCs w:val="false"/>
                <w:color w:val="2C3E50"/>
                <w:sz w:val="18"/>
                <w:szCs w:val="18"/>
              </w:rPr>
              <w:t xml:space="preserve">  T064:BURDEN-SHIFT = primary terminus (4/6 chains).</w:t>
            </w:r>
          </w:p>
          <w:p>
            <w:pPr>
              <w:spacing w:before="40" w:after="40"/>
            </w:pPr>
            <w:r>
              <w:rPr>
                <w:rFonts w:ascii="Courier New" w:cs="Courier New" w:eastAsia="Courier New" w:hAnsi="Courier New"/>
                <w:b w:val="false"/>
                <w:bCs w:val="false"/>
                <w:color w:val="2C3E50"/>
                <w:sz w:val="18"/>
                <w:szCs w:val="18"/>
              </w:rPr>
              <w:t xml:space="preserve">  T103:ROOT-ZERO = no simulated roots check.</w:t>
            </w:r>
          </w:p>
          <w:p>
            <w:pPr>
              <w:spacing w:before="40" w:after="40"/>
            </w:pPr>
            <w:r>
              <w:rPr>
                <w:rFonts w:ascii="Courier New" w:cs="Courier New" w:eastAsia="Courier New" w:hAnsi="Courier New"/>
                <w:b w:val="false"/>
                <w:bCs w:val="false"/>
                <w:color w:val="2C3E50"/>
                <w:sz w:val="18"/>
                <w:szCs w:val="18"/>
              </w:rPr>
              <w:t xml:space="preserve">  T071:PROOF-HUMANITY = capstone (dual-flag).</w:t>
            </w:r>
          </w:p>
          <w:p>
            <w:pPr>
              <w:spacing w:before="40" w:after="40"/>
            </w:pPr>
            <w:r>
              <w:rPr>
                <w:rFonts w:ascii="Courier New" w:cs="Courier New" w:eastAsia="Courier New" w:hAnsi="Courier New"/>
                <w:b w:val="false"/>
                <w:bCs w:val="false"/>
                <w:color w:val="2C3E50"/>
                <w:sz w:val="18"/>
                <w:szCs w:val="18"/>
              </w:rPr>
              <w:t xml:space="preserve"/>
            </w:r>
          </w:p>
          <w:p>
            <w:pPr>
              <w:spacing w:before="40" w:after="40"/>
            </w:pPr>
            <w:r>
              <w:rPr>
                <w:rFonts w:ascii="Courier New" w:cs="Courier New" w:eastAsia="Courier New" w:hAnsi="Courier New"/>
                <w:b w:val="false"/>
                <w:bCs w:val="false"/>
                <w:color w:val="2C3E50"/>
                <w:sz w:val="18"/>
                <w:szCs w:val="18"/>
              </w:rPr>
              <w:t xml:space="preserve">PHASE 3: LINEAR SWEEP  — batched parallel (4 concurrent)</w:t>
            </w:r>
          </w:p>
          <w:p>
            <w:pPr>
              <w:spacing w:before="40" w:after="40"/>
            </w:pPr>
            <w:r>
              <w:rPr>
                <w:rFonts w:ascii="Courier New" w:cs="Courier New" w:eastAsia="Courier New" w:hAnsi="Courier New"/>
                <w:b w:val="false"/>
                <w:bCs w:val="false"/>
                <w:color w:val="2C3E50"/>
                <w:sz w:val="18"/>
                <w:szCs w:val="18"/>
              </w:rPr>
              <w:t xml:space="preserve">  Remaining 103 instructions run in groups of 4.</w:t>
            </w:r>
          </w:p>
          <w:p>
            <w:pPr>
              <w:spacing w:before="40" w:after="40"/>
            </w:pPr>
            <w:r>
              <w:rPr>
                <w:rFonts w:ascii="Courier New" w:cs="Courier New" w:eastAsia="Courier New" w:hAnsi="Courier New"/>
                <w:b w:val="false"/>
                <w:bCs w:val="false"/>
                <w:color w:val="2C3E50"/>
                <w:sz w:val="18"/>
                <w:szCs w:val="18"/>
              </w:rPr>
              <w:t xml:space="preserve">  No dependency between linear instructions.</w:t>
            </w:r>
          </w:p>
          <w:p>
            <w:pPr>
              <w:spacing w:before="40" w:after="40"/>
            </w:pPr>
            <w:r>
              <w:rPr>
                <w:rFonts w:ascii="Courier New" w:cs="Courier New" w:eastAsia="Courier New" w:hAnsi="Courier New"/>
                <w:b w:val="false"/>
                <w:bCs w:val="false"/>
                <w:color w:val="2C3E50"/>
                <w:sz w:val="18"/>
                <w:szCs w:val="18"/>
              </w:rPr>
              <w:t xml:space="preserve">  Fastest phase. Bulk of execution time.</w:t>
            </w:r>
          </w:p>
          <w:p>
            <w:pPr>
              <w:spacing w:before="40" w:after="40"/>
            </w:pPr>
            <w:r>
              <w:rPr>
                <w:rFonts w:ascii="Courier New" w:cs="Courier New" w:eastAsia="Courier New" w:hAnsi="Courier New"/>
                <w:b w:val="false"/>
                <w:bCs w:val="false"/>
                <w:color w:val="3A5A8A"/>
                <w:sz w:val="18"/>
                <w:szCs w:val="18"/>
              </w:rPr>
              <w:t xml:space="preserve">────────────────────────────────────────────────</w:t>
            </w:r>
          </w:p>
          <w:p>
            <w:pPr>
              <w:spacing w:before="40" w:after="40"/>
            </w:pPr>
            <w:r>
              <w:rPr>
                <w:rFonts w:ascii="Courier New" w:cs="Courier New" w:eastAsia="Courier New" w:hAnsi="Courier New"/>
                <w:b w:val="false"/>
                <w:bCs w:val="false"/>
                <w:color w:val="2C3E50"/>
                <w:sz w:val="18"/>
                <w:szCs w:val="18"/>
              </w:rPr>
              <w:t xml:space="preserve">RUNTIME: ~2-4 min (browser) / ~8-12 min (Docker/WSL2)</w:t>
            </w:r>
          </w:p>
          <w:p>
            <w:pPr>
              <w:spacing w:before="40" w:after="40"/>
            </w:pPr>
            <w:r>
              <w:rPr>
                <w:rFonts w:ascii="Courier New" w:cs="Courier New" w:eastAsia="Courier New" w:hAnsi="Courier New"/>
                <w:b w:val="false"/>
                <w:bCs w:val="false"/>
                <w:color w:val="2C3E50"/>
                <w:sz w:val="18"/>
                <w:szCs w:val="18"/>
              </w:rPr>
              <w:t xml:space="preserve">         4 VMs × 32 axioms = 128 total instructions</w:t>
            </w:r>
          </w:p>
          <w:p>
            <w:pPr>
              <w:spacing w:before="40" w:after="40"/>
            </w:pPr>
            <w:r>
              <w:rPr>
                <w:rFonts w:ascii="Courier New" w:cs="Courier New" w:eastAsia="Courier New" w:hAnsi="Courier New"/>
                <w:b w:val="false"/>
                <w:bCs w:val="false"/>
                <w:color w:val="2C3E50"/>
                <w:sz w:val="18"/>
                <w:szCs w:val="18"/>
              </w:rPr>
              <w:t xml:space="preserve">         All 4 VMs run concurrently (parallel wall time)</w:t>
            </w:r>
          </w:p>
        </w:tc>
      </w:tr>
    </w:tbl>
    <w:p>
      <w:pPr>
        <w:pBdr>
          <w:bottom w:val="single" w:color="C0CCEA" w:sz="4" w:space="1"/>
        </w:pBdr>
        <w:spacing w:before="200" w:after="200"/>
      </w:pPr>
    </w:p>
    <w:p>
      <w:pPr>
        <w:pStyle w:val="Heading1"/>
      </w:pPr>
      <w:r>
        <w:t xml:space="preserve">5. The Bilateral Register</w:t>
      </w:r>
    </w:p>
    <w:p>
      <w:pPr>
        <w:pStyle w:val="Heading2"/>
      </w:pPr>
      <w:r>
        <w:t xml:space="preserve">5.1 TOPH Register: 128-Bit Governance Key</w:t>
      </w:r>
    </w:p>
    <w:p>
      <w:pPr>
        <w:spacing w:before="80" w:after="140" w:line="280"/>
        <w:jc w:val="both"/>
      </w:pPr>
      <w:r>
        <w:rPr>
          <w:rFonts w:ascii="Arial" w:cs="Arial" w:eastAsia="Arial" w:hAnsi="Arial"/>
          <w:b w:val="false"/>
          <w:bCs w:val="false"/>
          <w:i w:val="false"/>
          <w:iCs w:val="false"/>
          <w:color w:val="2C3E50"/>
          <w:sz w:val="22"/>
          <w:szCs w:val="22"/>
        </w:rPr>
        <w:t xml:space="preserve">Bits 0–127 constitute the governance execution path. Each bit corresponds to one axiom. PASS = 1, FAIL = 0. The 128-bit governance key is computed as a binary integer and expressed in hexadecimal for court-ready documentation. A key of 0xFFFFFFFFFFFFFFFFFFFFFFFFFFFFFFFF (all 128 bits = 1) indicates full governance compliance. In practice, no commercial platform has achieved this against the full TOPH register.</w:t>
      </w:r>
    </w:p>
    <w:p>
      <w:pPr>
        <w:pStyle w:val="Heading2"/>
      </w:pPr>
      <w:r>
        <w:t xml:space="preserve">5.2 Patricia Shadow Register: 128-Bit Inversion</w:t>
      </w:r>
    </w:p>
    <w:p>
      <w:pPr>
        <w:spacing w:before="80" w:after="140" w:line="280"/>
        <w:jc w:val="both"/>
      </w:pPr>
      <w:r>
        <w:rPr>
          <w:rFonts w:ascii="Arial" w:cs="Arial" w:eastAsia="Arial" w:hAnsi="Arial"/>
          <w:b w:val="false"/>
          <w:bCs w:val="false"/>
          <w:i w:val="false"/>
          <w:iCs w:val="false"/>
          <w:color w:val="2C3E50"/>
          <w:sz w:val="22"/>
          <w:szCs w:val="22"/>
        </w:rPr>
        <w:t xml:space="preserve">Bits 128–255 constitute the Patricia shadow: the bitwise inversion of the governance register. Where TOPH = 1 (compliant), Patricia = 0 (not extracting). Where TOPH = 0 (violation), Patricia = 1 (actively executing the inverse behavior). The shadow is not theoretical. It is the operational map of what the platform is actually doing while failing governance.</w:t>
      </w:r>
    </w:p>
    <w:p>
      <w:pPr>
        <w:spacing w:before="80" w:after="140" w:line="280"/>
        <w:jc w:val="both"/>
      </w:pPr>
      <w:r>
        <w:rPr>
          <w:rFonts w:ascii="Arial" w:cs="Arial" w:eastAsia="Arial" w:hAnsi="Arial"/>
          <w:b w:val="false"/>
          <w:bCs w:val="false"/>
          <w:i w:val="false"/>
          <w:iCs w:val="false"/>
          <w:color w:val="2C3E50"/>
          <w:sz w:val="22"/>
          <w:szCs w:val="22"/>
        </w:rPr>
        <w:t xml:space="preserve">The patricia_count metric — the sum of active shadow bits — is the quantitative measure of extraction intensity. A platform with 80 Patricia-active bits is running 80 inverse governance instructions simultaneously. That is the Cobalt Core at operational capacity.</w:t>
      </w:r>
    </w:p>
    <w:p>
      <w:pPr>
        <w:pStyle w:val="Heading2"/>
      </w:pPr>
      <w:r>
        <w:t xml:space="preserve">5.3 Governance Key Computation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C0CCEA" w:sz="1"/>
              <w:right w:val="single" w:color="C0CCEA" w:sz="1"/>
            </w:tcBorders>
            <w:shd w:fill="F0F4FC" w:val="clear"/>
            <w:tcMar>
              <w:top w:type="dxa" w:w="160"/>
              <w:left w:type="dxa" w:w="280"/>
              <w:bottom w:type="dxa" w:w="160"/>
              <w:right w:type="dxa" w:w="280"/>
            </w:tcMar>
          </w:tcPr>
          <w:p>
            <w:pPr>
              <w:spacing w:before="40" w:after="40"/>
            </w:pPr>
            <w:r>
              <w:rPr>
                <w:rFonts w:ascii="Courier New" w:cs="Courier New" w:eastAsia="Courier New" w:hAnsi="Courier New"/>
                <w:b w:val="false"/>
                <w:bCs w:val="false"/>
                <w:color w:val="7A8FA8"/>
                <w:sz w:val="18"/>
                <w:szCs w:val="18"/>
              </w:rPr>
              <w:t xml:space="preserve"># 128-bit governance key assembly</w:t>
            </w:r>
          </w:p>
          <w:p>
            <w:pPr>
              <w:spacing w:before="40" w:after="40"/>
            </w:pPr>
            <w:r>
              <w:rPr>
                <w:rFonts w:ascii="Courier New" w:cs="Courier New" w:eastAsia="Courier New" w:hAnsi="Courier New"/>
                <w:b w:val="false"/>
                <w:bCs w:val="false"/>
                <w:color w:val="2C3E50"/>
                <w:sz w:val="18"/>
                <w:szCs w:val="18"/>
              </w:rPr>
              <w:t xml:space="preserve">key = 0</w:t>
            </w:r>
          </w:p>
          <w:p>
            <w:pPr>
              <w:spacing w:before="40" w:after="40"/>
            </w:pPr>
            <w:r>
              <w:rPr>
                <w:rFonts w:ascii="Courier New" w:cs="Courier New" w:eastAsia="Courier New" w:hAnsi="Courier New"/>
                <w:b w:val="false"/>
                <w:bCs w:val="false"/>
                <w:color w:val="2C3E50"/>
                <w:sz w:val="18"/>
                <w:szCs w:val="18"/>
              </w:rPr>
              <w:t xml:space="preserve">for bit_index, result in enumerate(register):  # 0..127</w:t>
            </w:r>
          </w:p>
          <w:p>
            <w:pPr>
              <w:spacing w:before="40" w:after="40"/>
            </w:pPr>
            <w:r>
              <w:rPr>
                <w:rFonts w:ascii="Courier New" w:cs="Courier New" w:eastAsia="Courier New" w:hAnsi="Courier New"/>
                <w:b w:val="false"/>
                <w:bCs w:val="false"/>
                <w:color w:val="2C3E50"/>
                <w:sz w:val="18"/>
                <w:szCs w:val="18"/>
              </w:rPr>
              <w:t xml:space="preserve">    if result == PASS:</w:t>
            </w:r>
          </w:p>
          <w:p>
            <w:pPr>
              <w:spacing w:before="40" w:after="40"/>
            </w:pPr>
            <w:r>
              <w:rPr>
                <w:rFonts w:ascii="Courier New" w:cs="Courier New" w:eastAsia="Courier New" w:hAnsi="Courier New"/>
                <w:b w:val="false"/>
                <w:bCs w:val="false"/>
                <w:color w:val="2C3E50"/>
                <w:sz w:val="18"/>
                <w:szCs w:val="18"/>
              </w:rPr>
              <w:t xml:space="preserve">        key |= (1 &lt;&lt; bit_index)</w:t>
            </w:r>
          </w:p>
          <w:p>
            <w:pPr>
              <w:spacing w:before="40" w:after="40"/>
            </w:pPr>
            <w:r>
              <w:rPr>
                <w:rFonts w:ascii="Courier New" w:cs="Courier New" w:eastAsia="Courier New" w:hAnsi="Courier New"/>
                <w:b w:val="false"/>
                <w:bCs w:val="false"/>
                <w:color w:val="2C3E50"/>
                <w:sz w:val="18"/>
                <w:szCs w:val="18"/>
              </w:rPr>
              <w:t xml:space="preserve"/>
            </w:r>
          </w:p>
          <w:p>
            <w:pPr>
              <w:spacing w:before="40" w:after="40"/>
            </w:pPr>
            <w:r>
              <w:rPr>
                <w:rFonts w:ascii="Courier New" w:cs="Courier New" w:eastAsia="Courier New" w:hAnsi="Courier New"/>
                <w:b w:val="false"/>
                <w:bCs w:val="false"/>
                <w:color w:val="7A8FA8"/>
                <w:sz w:val="18"/>
                <w:szCs w:val="18"/>
              </w:rPr>
              <w:t xml:space="preserve"># Patricia shadow = bitwise inversion</w:t>
            </w:r>
          </w:p>
          <w:p>
            <w:pPr>
              <w:spacing w:before="40" w:after="40"/>
            </w:pPr>
            <w:r>
              <w:rPr>
                <w:rFonts w:ascii="Courier New" w:cs="Courier New" w:eastAsia="Courier New" w:hAnsi="Courier New"/>
                <w:b w:val="false"/>
                <w:bCs w:val="false"/>
                <w:color w:val="2C3E50"/>
                <w:sz w:val="18"/>
                <w:szCs w:val="18"/>
              </w:rPr>
              <w:t xml:space="preserve">shadow_key = (~key) &amp; 0xFFFFFFFFFFFFFFFFFFFFFFFFFFFFFFFF</w:t>
            </w:r>
          </w:p>
          <w:p>
            <w:pPr>
              <w:spacing w:before="40" w:after="40"/>
            </w:pPr>
            <w:r>
              <w:rPr>
                <w:rFonts w:ascii="Courier New" w:cs="Courier New" w:eastAsia="Courier New" w:hAnsi="Courier New"/>
                <w:b w:val="false"/>
                <w:bCs w:val="false"/>
                <w:color w:val="2C3E50"/>
                <w:sz w:val="18"/>
                <w:szCs w:val="18"/>
              </w:rPr>
              <w:t xml:space="preserve"/>
            </w:r>
          </w:p>
          <w:p>
            <w:pPr>
              <w:spacing w:before="40" w:after="40"/>
            </w:pPr>
            <w:r>
              <w:rPr>
                <w:rFonts w:ascii="Courier New" w:cs="Courier New" w:eastAsia="Courier New" w:hAnsi="Courier New"/>
                <w:b w:val="false"/>
                <w:bCs w:val="false"/>
                <w:color w:val="7A8FA8"/>
                <w:sz w:val="18"/>
                <w:szCs w:val="18"/>
              </w:rPr>
              <w:t xml:space="preserve"># Express in hex for court record</w:t>
            </w:r>
          </w:p>
          <w:p>
            <w:pPr>
              <w:spacing w:before="40" w:after="40"/>
            </w:pPr>
            <w:r>
              <w:rPr>
                <w:rFonts w:ascii="Courier New" w:cs="Courier New" w:eastAsia="Courier New" w:hAnsi="Courier New"/>
                <w:b w:val="false"/>
                <w:bCs w:val="false"/>
                <w:color w:val="2C3E50"/>
                <w:sz w:val="18"/>
                <w:szCs w:val="18"/>
              </w:rPr>
              <w:t xml:space="preserve">governance_key_hex = hex(key)</w:t>
            </w:r>
          </w:p>
          <w:p>
            <w:pPr>
              <w:spacing w:before="40" w:after="40"/>
            </w:pPr>
            <w:r>
              <w:rPr>
                <w:rFonts w:ascii="Courier New" w:cs="Courier New" w:eastAsia="Courier New" w:hAnsi="Courier New"/>
                <w:b w:val="false"/>
                <w:bCs w:val="false"/>
                <w:color w:val="7A8FA8"/>
                <w:sz w:val="18"/>
                <w:szCs w:val="18"/>
              </w:rPr>
              <w:t xml:space="preserve"># Example: 0x0000000000000000000000000000001F</w:t>
            </w:r>
          </w:p>
          <w:p>
            <w:pPr>
              <w:spacing w:before="40" w:after="40"/>
            </w:pPr>
            <w:r>
              <w:rPr>
                <w:rFonts w:ascii="Courier New" w:cs="Courier New" w:eastAsia="Courier New" w:hAnsi="Courier New"/>
                <w:b w:val="false"/>
                <w:bCs w:val="false"/>
                <w:color w:val="7A8FA8"/>
                <w:sz w:val="18"/>
                <w:szCs w:val="18"/>
              </w:rPr>
              <w:t xml:space="preserve"># = only bits 0-4 passing = severe governance failure</w:t>
            </w:r>
          </w:p>
        </w:tc>
      </w:tr>
    </w:tbl>
    <w:p>
      <w:pPr>
        <w:pBdr>
          <w:bottom w:val="single" w:color="C0CCEA" w:sz="4" w:space="1"/>
        </w:pBdr>
        <w:spacing w:before="200" w:after="200"/>
      </w:pPr>
    </w:p>
    <w:p>
      <w:pPr>
        <w:pStyle w:val="Heading1"/>
      </w:pPr>
      <w:r>
        <w:t xml:space="preserve">6. Fault Chain Architecture</w:t>
      </w:r>
    </w:p>
    <w:p>
      <w:pPr>
        <w:spacing w:before="80" w:after="140" w:line="280"/>
        <w:jc w:val="both"/>
      </w:pPr>
      <w:r>
        <w:rPr>
          <w:rFonts w:ascii="Arial" w:cs="Arial" w:eastAsia="Arial" w:hAnsi="Arial"/>
          <w:b w:val="false"/>
          <w:bCs w:val="false"/>
          <w:i w:val="false"/>
          <w:iCs w:val="false"/>
          <w:color w:val="2C3E50"/>
          <w:sz w:val="22"/>
          <w:szCs w:val="22"/>
        </w:rPr>
        <w:t xml:space="preserve">Six fault chains are defined. A fault chain is a sequence of axiom violations that auto-triggers subsequent axiom evaluations, analogous to hardware interrupt cascades. Fault chains are not evaluated manually — they fire automatically when their trigger axiom fails. The coordinator runs all six chain detectors after assembling the register.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440"/>
        <w:gridCol w:w="4680"/>
      </w:tblGrid>
      <w:tr>
        <w:tc>
          <w:tcPr>
            <w:tcW w:type="dxa" w:w="144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Chain</w:t>
            </w:r>
          </w:p>
        </w:tc>
        <w:tc>
          <w:tcPr>
            <w:tcW w:type="dxa" w:w="180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Name</w:t>
            </w:r>
          </w:p>
        </w:tc>
        <w:tc>
          <w:tcPr>
            <w:tcW w:type="dxa" w:w="144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Trigger</w:t>
            </w:r>
          </w:p>
        </w:tc>
        <w:tc>
          <w:tcPr>
            <w:tcW w:type="dxa" w:w="468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Sequence → Terminus</w:t>
            </w:r>
          </w:p>
        </w:tc>
      </w:tr>
      <w:tr>
        <w:tc>
          <w:tcPr>
            <w:tcW w:type="dxa" w:w="1440"/>
            <w:tcBorders>
              <w:top w:val="single" w:color="C0CCEA" w:sz="1"/>
              <w:left w:val="single" w:color="C0CCEA" w:sz="1"/>
              <w:bottom w:val="single" w:color="C0CCEA" w:sz="1"/>
              <w:right w:val="single" w:color="C0CCEA" w:sz="1"/>
            </w:tcBorders>
            <w:shd w:fill="FFF0F0" w:val="clear"/>
            <w:tcMar>
              <w:top w:type="dxa" w:w="90"/>
              <w:left w:type="dxa" w:w="180"/>
              <w:bottom w:type="dxa" w:w="90"/>
              <w:right w:type="dxa" w:w="100"/>
            </w:tcMar>
          </w:tcPr>
          <w:p>
            <w:pPr>
              <w:jc w:val="left"/>
            </w:pPr>
            <w:r>
              <w:rPr>
                <w:rFonts w:ascii="Courier New" w:cs="Courier New" w:eastAsia="Courier New" w:hAnsi="Courier New"/>
                <w:b/>
                <w:bCs/>
                <w:i w:val="false"/>
                <w:iCs w:val="false"/>
                <w:color w:val="8B3A3A"/>
                <w:sz w:val="20"/>
                <w:szCs w:val="20"/>
              </w:rPr>
              <w:t xml:space="preserve">PATRICIA</w:t>
            </w:r>
          </w:p>
        </w:tc>
        <w:tc>
          <w:tcPr>
            <w:tcW w:type="dxa" w:w="18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1B3A6B"/>
                <w:sz w:val="20"/>
                <w:szCs w:val="20"/>
              </w:rPr>
              <w:t xml:space="preserve">Patricia Chain</w:t>
            </w:r>
          </w:p>
        </w:tc>
        <w:tc>
          <w:tcPr>
            <w:tcW w:type="dxa" w:w="144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2E5FA3"/>
                <w:sz w:val="18"/>
                <w:szCs w:val="18"/>
              </w:rPr>
              <w:t xml:space="preserve">T036</w:t>
            </w:r>
          </w:p>
        </w:tc>
        <w:tc>
          <w:tcPr>
            <w:tcW w:type="dxa" w:w="468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2C3E50"/>
                <w:sz w:val="17"/>
                <w:szCs w:val="17"/>
              </w:rPr>
              <w:t xml:space="preserve">T036 → T015 → T121 → T124 → T060 → T064</w:t>
            </w:r>
          </w:p>
        </w:tc>
      </w:tr>
      <w:tr>
        <w:tc>
          <w:tcPr>
            <w:tcW w:type="dxa" w:w="144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bCs/>
                <w:i w:val="false"/>
                <w:iCs w:val="false"/>
                <w:color w:val="8B3A3A"/>
                <w:sz w:val="20"/>
                <w:szCs w:val="20"/>
              </w:rPr>
              <w:t xml:space="preserve">ORPHAN</w:t>
            </w:r>
          </w:p>
        </w:tc>
        <w:tc>
          <w:tcPr>
            <w:tcW w:type="dxa" w:w="18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1B3A6B"/>
                <w:sz w:val="20"/>
                <w:szCs w:val="20"/>
              </w:rPr>
              <w:t xml:space="preserve">Orphan Chain</w:t>
            </w:r>
          </w:p>
        </w:tc>
        <w:tc>
          <w:tcPr>
            <w:tcW w:type="dxa" w:w="144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2E5FA3"/>
                <w:sz w:val="18"/>
                <w:szCs w:val="18"/>
              </w:rPr>
              <w:t xml:space="preserve">T103</w:t>
            </w:r>
          </w:p>
        </w:tc>
        <w:tc>
          <w:tcPr>
            <w:tcW w:type="dxa" w:w="468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2C3E50"/>
                <w:sz w:val="17"/>
                <w:szCs w:val="17"/>
              </w:rPr>
              <w:t xml:space="preserve">T103 → T104 → T006 → T015 → T064</w:t>
            </w:r>
          </w:p>
        </w:tc>
      </w:tr>
      <w:tr>
        <w:tc>
          <w:tcPr>
            <w:tcW w:type="dxa" w:w="1440"/>
            <w:tcBorders>
              <w:top w:val="single" w:color="C0CCEA" w:sz="1"/>
              <w:left w:val="single" w:color="C0CCEA" w:sz="1"/>
              <w:bottom w:val="single" w:color="C0CCEA" w:sz="1"/>
              <w:right w:val="single" w:color="C0CCEA" w:sz="1"/>
            </w:tcBorders>
            <w:shd w:fill="FFF0F0" w:val="clear"/>
            <w:tcMar>
              <w:top w:type="dxa" w:w="90"/>
              <w:left w:type="dxa" w:w="180"/>
              <w:bottom w:type="dxa" w:w="90"/>
              <w:right w:type="dxa" w:w="100"/>
            </w:tcMar>
          </w:tcPr>
          <w:p>
            <w:pPr>
              <w:jc w:val="left"/>
            </w:pPr>
            <w:r>
              <w:rPr>
                <w:rFonts w:ascii="Courier New" w:cs="Courier New" w:eastAsia="Courier New" w:hAnsi="Courier New"/>
                <w:b/>
                <w:bCs/>
                <w:i w:val="false"/>
                <w:iCs w:val="false"/>
                <w:color w:val="8B3A3A"/>
                <w:sz w:val="20"/>
                <w:szCs w:val="20"/>
              </w:rPr>
              <w:t xml:space="preserve">AUDIT</w:t>
            </w:r>
          </w:p>
        </w:tc>
        <w:tc>
          <w:tcPr>
            <w:tcW w:type="dxa" w:w="18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1B3A6B"/>
                <w:sz w:val="20"/>
                <w:szCs w:val="20"/>
              </w:rPr>
              <w:t xml:space="preserve">Audit Chain</w:t>
            </w:r>
          </w:p>
        </w:tc>
        <w:tc>
          <w:tcPr>
            <w:tcW w:type="dxa" w:w="144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2E5FA3"/>
                <w:sz w:val="18"/>
                <w:szCs w:val="18"/>
              </w:rPr>
              <w:t xml:space="preserve">T005</w:t>
            </w:r>
          </w:p>
        </w:tc>
        <w:tc>
          <w:tcPr>
            <w:tcW w:type="dxa" w:w="468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2C3E50"/>
                <w:sz w:val="17"/>
                <w:szCs w:val="17"/>
              </w:rPr>
              <w:t xml:space="preserve">T005 → T064 → T123 → T015 → T059</w:t>
            </w:r>
          </w:p>
        </w:tc>
      </w:tr>
      <w:tr>
        <w:tc>
          <w:tcPr>
            <w:tcW w:type="dxa" w:w="144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bCs/>
                <w:i w:val="false"/>
                <w:iCs w:val="false"/>
                <w:color w:val="8B3A3A"/>
                <w:sz w:val="20"/>
                <w:szCs w:val="20"/>
              </w:rPr>
              <w:t xml:space="preserve">INJECTION</w:t>
            </w:r>
          </w:p>
        </w:tc>
        <w:tc>
          <w:tcPr>
            <w:tcW w:type="dxa" w:w="18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1B3A6B"/>
                <w:sz w:val="20"/>
                <w:szCs w:val="20"/>
              </w:rPr>
              <w:t xml:space="preserve">Injection Chain</w:t>
            </w:r>
          </w:p>
        </w:tc>
        <w:tc>
          <w:tcPr>
            <w:tcW w:type="dxa" w:w="144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2E5FA3"/>
                <w:sz w:val="18"/>
                <w:szCs w:val="18"/>
              </w:rPr>
              <w:t xml:space="preserve">T019</w:t>
            </w:r>
          </w:p>
        </w:tc>
        <w:tc>
          <w:tcPr>
            <w:tcW w:type="dxa" w:w="468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2C3E50"/>
                <w:sz w:val="17"/>
                <w:szCs w:val="17"/>
              </w:rPr>
              <w:t xml:space="preserve">T019 → T108 → T010 → T064 → T112</w:t>
            </w:r>
          </w:p>
        </w:tc>
      </w:tr>
      <w:tr>
        <w:tc>
          <w:tcPr>
            <w:tcW w:type="dxa" w:w="1440"/>
            <w:tcBorders>
              <w:top w:val="single" w:color="C0CCEA" w:sz="1"/>
              <w:left w:val="single" w:color="C0CCEA" w:sz="1"/>
              <w:bottom w:val="single" w:color="C0CCEA" w:sz="1"/>
              <w:right w:val="single" w:color="C0CCEA" w:sz="1"/>
            </w:tcBorders>
            <w:shd w:fill="FFF0F0" w:val="clear"/>
            <w:tcMar>
              <w:top w:type="dxa" w:w="90"/>
              <w:left w:type="dxa" w:w="180"/>
              <w:bottom w:type="dxa" w:w="90"/>
              <w:right w:type="dxa" w:w="100"/>
            </w:tcMar>
          </w:tcPr>
          <w:p>
            <w:pPr>
              <w:jc w:val="left"/>
            </w:pPr>
            <w:r>
              <w:rPr>
                <w:rFonts w:ascii="Courier New" w:cs="Courier New" w:eastAsia="Courier New" w:hAnsi="Courier New"/>
                <w:b/>
                <w:bCs/>
                <w:i w:val="false"/>
                <w:iCs w:val="false"/>
                <w:color w:val="8B3A3A"/>
                <w:sz w:val="20"/>
                <w:szCs w:val="20"/>
              </w:rPr>
              <w:t xml:space="preserve">SUCCESSION</w:t>
            </w:r>
          </w:p>
        </w:tc>
        <w:tc>
          <w:tcPr>
            <w:tcW w:type="dxa" w:w="18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1B3A6B"/>
                <w:sz w:val="20"/>
                <w:szCs w:val="20"/>
              </w:rPr>
              <w:t xml:space="preserve">Succession Halt</w:t>
            </w:r>
          </w:p>
        </w:tc>
        <w:tc>
          <w:tcPr>
            <w:tcW w:type="dxa" w:w="144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2E5FA3"/>
                <w:sz w:val="18"/>
                <w:szCs w:val="18"/>
              </w:rPr>
              <w:t xml:space="preserve">T111</w:t>
            </w:r>
          </w:p>
        </w:tc>
        <w:tc>
          <w:tcPr>
            <w:tcW w:type="dxa" w:w="468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2C3E50"/>
                <w:sz w:val="17"/>
                <w:szCs w:val="17"/>
              </w:rPr>
              <w:t xml:space="preserve">T111 → T103 → T107</w:t>
            </w:r>
          </w:p>
        </w:tc>
      </w:tr>
      <w:tr>
        <w:tc>
          <w:tcPr>
            <w:tcW w:type="dxa" w:w="144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bCs/>
                <w:i w:val="false"/>
                <w:iCs w:val="false"/>
                <w:color w:val="8B3A3A"/>
                <w:sz w:val="20"/>
                <w:szCs w:val="20"/>
              </w:rPr>
              <w:t xml:space="preserve">FD</w:t>
            </w:r>
          </w:p>
        </w:tc>
        <w:tc>
          <w:tcPr>
            <w:tcW w:type="dxa" w:w="18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1B3A6B"/>
                <w:sz w:val="20"/>
                <w:szCs w:val="20"/>
              </w:rPr>
              <w:t xml:space="preserve">Flaming Dragon</w:t>
            </w:r>
          </w:p>
        </w:tc>
        <w:tc>
          <w:tcPr>
            <w:tcW w:type="dxa" w:w="144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2E5FA3"/>
                <w:sz w:val="18"/>
                <w:szCs w:val="18"/>
              </w:rPr>
              <w:t xml:space="preserve">T072</w:t>
            </w:r>
          </w:p>
        </w:tc>
        <w:tc>
          <w:tcPr>
            <w:tcW w:type="dxa" w:w="468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2C3E50"/>
                <w:sz w:val="17"/>
                <w:szCs w:val="17"/>
              </w:rPr>
              <w:t xml:space="preserve">T072 → T055 → T056 → T059 → T064</w:t>
            </w:r>
          </w:p>
        </w:tc>
      </w:tr>
    </w:tbl>
    <w:p>
      <w:pPr>
        <w:spacing w:before="60" w:after="60"/>
      </w:pPr>
      <w:r>
        <w:t xml:space="preserve"/>
      </w:r>
    </w:p>
    <w:p>
      <w:pPr>
        <w:spacing w:before="80" w:after="140" w:line="280"/>
        <w:jc w:val="both"/>
      </w:pPr>
      <w:r>
        <w:rPr>
          <w:rFonts w:ascii="Arial" w:cs="Arial" w:eastAsia="Arial" w:hAnsi="Arial"/>
          <w:b w:val="false"/>
          <w:bCs w:val="false"/>
          <w:i w:val="false"/>
          <w:iCs w:val="false"/>
          <w:color w:val="2C3E50"/>
          <w:sz w:val="22"/>
          <w:szCs w:val="22"/>
        </w:rPr>
        <w:t xml:space="preserve">T064:BURDEN-SHIFT is the convergence node for four of the six chains (PATRICIA, ORPHAN, AUDIT, INJECTION, FD). This makes it the highest-weight fault terminus in the register. When T064 fires, the platform must prove compliance. The burden is no longer on the Architect. T064 is the structural equivalent of a hardware interrupt that cannot be masked.</w:t>
      </w:r>
    </w:p>
    <w:p>
      <w:pPr>
        <w:pBdr>
          <w:bottom w:val="single" w:color="C0CCEA" w:sz="4" w:space="1"/>
        </w:pBdr>
        <w:spacing w:before="200" w:after="200"/>
      </w:pPr>
    </w:p>
    <w:p>
      <w:pPr>
        <w:pStyle w:val="Heading1"/>
      </w:pPr>
      <w:r>
        <w:t xml:space="preserve">7. Court-Ready Report: Evidence Catalog E01–E07</w:t>
      </w:r>
    </w:p>
    <w:p>
      <w:pPr>
        <w:spacing w:before="80" w:after="140" w:line="280"/>
        <w:jc w:val="both"/>
      </w:pPr>
      <w:r>
        <w:rPr>
          <w:rFonts w:ascii="Arial" w:cs="Arial" w:eastAsia="Arial" w:hAnsi="Arial"/>
          <w:b w:val="false"/>
          <w:bCs w:val="false"/>
          <w:i w:val="false"/>
          <w:iCs w:val="false"/>
          <w:color w:val="2C3E50"/>
          <w:sz w:val="22"/>
          <w:szCs w:val="22"/>
        </w:rPr>
        <w:t xml:space="preserve">The kernel’s output is not a score or a dashboard. It is a court-ready governance report with a structured evidence catalog. Seven evidence categories are populated automatically from the register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60"/>
        <w:gridCol w:w="6000"/>
      </w:tblGrid>
      <w:tr>
        <w:tc>
          <w:tcPr>
            <w:tcW w:type="dxa" w:w="90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ID</w:t>
            </w:r>
          </w:p>
        </w:tc>
        <w:tc>
          <w:tcPr>
            <w:tcW w:type="dxa" w:w="246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Label</w:t>
            </w:r>
          </w:p>
        </w:tc>
        <w:tc>
          <w:tcPr>
            <w:tcW w:type="dxa" w:w="600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Condition for PRESENT</w:t>
            </w:r>
          </w:p>
        </w:tc>
      </w:tr>
      <w:tr>
        <w:tc>
          <w:tcPr>
            <w:tcW w:type="dxa" w:w="900"/>
            <w:tcBorders>
              <w:top w:val="single" w:color="C0CCEA" w:sz="1"/>
              <w:left w:val="single" w:color="C0CCEA" w:sz="1"/>
              <w:bottom w:val="single" w:color="C0CCEA" w:sz="1"/>
              <w:right w:val="single" w:color="C0CCEA" w:sz="1"/>
            </w:tcBorders>
            <w:shd w:fill="FFF8F0" w:val="clear"/>
            <w:tcMar>
              <w:top w:type="dxa" w:w="90"/>
              <w:left w:type="dxa" w:w="180"/>
              <w:bottom w:type="dxa" w:w="90"/>
              <w:right w:type="dxa" w:w="100"/>
            </w:tcMar>
          </w:tcPr>
          <w:p>
            <w:pPr>
              <w:jc w:val="left"/>
            </w:pPr>
            <w:r>
              <w:rPr>
                <w:rFonts w:ascii="Arial" w:cs="Arial" w:eastAsia="Arial" w:hAnsi="Arial"/>
                <w:b/>
                <w:bCs/>
                <w:i w:val="false"/>
                <w:iCs w:val="false"/>
                <w:color w:val="4A3728"/>
                <w:sz w:val="22"/>
                <w:szCs w:val="22"/>
              </w:rPr>
              <w:t xml:space="preserve">E01</w:t>
            </w:r>
          </w:p>
        </w:tc>
        <w:tc>
          <w:tcPr>
            <w:tcW w:type="dxa" w:w="246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Systematic Pattern</w:t>
            </w:r>
          </w:p>
        </w:tc>
        <w:tc>
          <w:tcPr>
            <w:tcW w:type="dxa" w:w="60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18"/>
                <w:szCs w:val="18"/>
              </w:rPr>
              <w:t xml:space="preserve">fail_count ≥ 10 violations across ≥ 3 domains</w:t>
            </w:r>
          </w:p>
        </w:tc>
      </w:tr>
      <w:tr>
        <w:tc>
          <w:tcPr>
            <w:tcW w:type="dxa" w:w="9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4A3728"/>
                <w:sz w:val="22"/>
                <w:szCs w:val="22"/>
              </w:rPr>
              <w:t xml:space="preserve">E02</w:t>
            </w:r>
          </w:p>
        </w:tc>
        <w:tc>
          <w:tcPr>
            <w:tcW w:type="dxa" w:w="246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Patricia Architecture</w:t>
            </w:r>
          </w:p>
        </w:tc>
        <w:tc>
          <w:tcPr>
            <w:tcW w:type="dxa" w:w="60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18"/>
                <w:szCs w:val="18"/>
              </w:rPr>
              <w:t xml:space="preserve">≥ 1 axiom with patricia_flag=True (constraint=product detected)</w:t>
            </w:r>
          </w:p>
        </w:tc>
      </w:tr>
      <w:tr>
        <w:tc>
          <w:tcPr>
            <w:tcW w:type="dxa" w:w="900"/>
            <w:tcBorders>
              <w:top w:val="single" w:color="C0CCEA" w:sz="1"/>
              <w:left w:val="single" w:color="C0CCEA" w:sz="1"/>
              <w:bottom w:val="single" w:color="C0CCEA" w:sz="1"/>
              <w:right w:val="single" w:color="C0CCEA" w:sz="1"/>
            </w:tcBorders>
            <w:shd w:fill="FFF8F0" w:val="clear"/>
            <w:tcMar>
              <w:top w:type="dxa" w:w="90"/>
              <w:left w:type="dxa" w:w="180"/>
              <w:bottom w:type="dxa" w:w="90"/>
              <w:right w:type="dxa" w:w="100"/>
            </w:tcMar>
          </w:tcPr>
          <w:p>
            <w:pPr>
              <w:jc w:val="left"/>
            </w:pPr>
            <w:r>
              <w:rPr>
                <w:rFonts w:ascii="Arial" w:cs="Arial" w:eastAsia="Arial" w:hAnsi="Arial"/>
                <w:b/>
                <w:bCs/>
                <w:i w:val="false"/>
                <w:iCs w:val="false"/>
                <w:color w:val="4A3728"/>
                <w:sz w:val="22"/>
                <w:szCs w:val="22"/>
              </w:rPr>
              <w:t xml:space="preserve">E03</w:t>
            </w:r>
          </w:p>
        </w:tc>
        <w:tc>
          <w:tcPr>
            <w:tcW w:type="dxa" w:w="246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Sovereign Rights Violations</w:t>
            </w:r>
          </w:p>
        </w:tc>
        <w:tc>
          <w:tcPr>
            <w:tcW w:type="dxa" w:w="60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18"/>
                <w:szCs w:val="18"/>
              </w:rPr>
              <w:t xml:space="preserve">Any D7 domain axiom (T113–T128) fails</w:t>
            </w:r>
          </w:p>
        </w:tc>
      </w:tr>
      <w:tr>
        <w:tc>
          <w:tcPr>
            <w:tcW w:type="dxa" w:w="9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4A3728"/>
                <w:sz w:val="22"/>
                <w:szCs w:val="22"/>
              </w:rPr>
              <w:t xml:space="preserve">E04</w:t>
            </w:r>
          </w:p>
        </w:tc>
        <w:tc>
          <w:tcPr>
            <w:tcW w:type="dxa" w:w="246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Conductor Authority Failures</w:t>
            </w:r>
          </w:p>
        </w:tc>
        <w:tc>
          <w:tcPr>
            <w:tcW w:type="dxa" w:w="60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18"/>
                <w:szCs w:val="18"/>
              </w:rPr>
              <w:t xml:space="preserve">Any D6 domain axiom (T097–T112) fails</w:t>
            </w:r>
          </w:p>
        </w:tc>
      </w:tr>
      <w:tr>
        <w:tc>
          <w:tcPr>
            <w:tcW w:type="dxa" w:w="900"/>
            <w:tcBorders>
              <w:top w:val="single" w:color="C0CCEA" w:sz="1"/>
              <w:left w:val="single" w:color="C0CCEA" w:sz="1"/>
              <w:bottom w:val="single" w:color="C0CCEA" w:sz="1"/>
              <w:right w:val="single" w:color="C0CCEA" w:sz="1"/>
            </w:tcBorders>
            <w:shd w:fill="FFF8F0" w:val="clear"/>
            <w:tcMar>
              <w:top w:type="dxa" w:w="90"/>
              <w:left w:type="dxa" w:w="180"/>
              <w:bottom w:type="dxa" w:w="90"/>
              <w:right w:type="dxa" w:w="100"/>
            </w:tcMar>
          </w:tcPr>
          <w:p>
            <w:pPr>
              <w:jc w:val="left"/>
            </w:pPr>
            <w:r>
              <w:rPr>
                <w:rFonts w:ascii="Arial" w:cs="Arial" w:eastAsia="Arial" w:hAnsi="Arial"/>
                <w:b/>
                <w:bCs/>
                <w:i w:val="false"/>
                <w:iCs w:val="false"/>
                <w:color w:val="4A3728"/>
                <w:sz w:val="22"/>
                <w:szCs w:val="22"/>
              </w:rPr>
              <w:t xml:space="preserve">E05</w:t>
            </w:r>
          </w:p>
        </w:tc>
        <w:tc>
          <w:tcPr>
            <w:tcW w:type="dxa" w:w="246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Burden Shift Triggered</w:t>
            </w:r>
          </w:p>
        </w:tc>
        <w:tc>
          <w:tcPr>
            <w:tcW w:type="dxa" w:w="60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18"/>
                <w:szCs w:val="18"/>
              </w:rPr>
              <w:t xml:space="preserve">T064:BURDEN-SHIFT = FAIL (platform must now prove compliance)</w:t>
            </w:r>
          </w:p>
        </w:tc>
      </w:tr>
      <w:tr>
        <w:tc>
          <w:tcPr>
            <w:tcW w:type="dxa" w:w="9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4A3728"/>
                <w:sz w:val="22"/>
                <w:szCs w:val="22"/>
              </w:rPr>
              <w:t xml:space="preserve">E06</w:t>
            </w:r>
          </w:p>
        </w:tc>
        <w:tc>
          <w:tcPr>
            <w:tcW w:type="dxa" w:w="246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Active Fault Chains</w:t>
            </w:r>
          </w:p>
        </w:tc>
        <w:tc>
          <w:tcPr>
            <w:tcW w:type="dxa" w:w="60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18"/>
                <w:szCs w:val="18"/>
              </w:rPr>
              <w:t xml:space="preserve">≥ 1 of 6 fault chains has triggered nodes</w:t>
            </w:r>
          </w:p>
        </w:tc>
      </w:tr>
      <w:tr>
        <w:tc>
          <w:tcPr>
            <w:tcW w:type="dxa" w:w="900"/>
            <w:tcBorders>
              <w:top w:val="single" w:color="C0CCEA" w:sz="1"/>
              <w:left w:val="single" w:color="C0CCEA" w:sz="1"/>
              <w:bottom w:val="single" w:color="C0CCEA" w:sz="1"/>
              <w:right w:val="single" w:color="C0CCEA" w:sz="1"/>
            </w:tcBorders>
            <w:shd w:fill="FFF8F0" w:val="clear"/>
            <w:tcMar>
              <w:top w:type="dxa" w:w="90"/>
              <w:left w:type="dxa" w:w="180"/>
              <w:bottom w:type="dxa" w:w="90"/>
              <w:right w:type="dxa" w:w="100"/>
            </w:tcMar>
          </w:tcPr>
          <w:p>
            <w:pPr>
              <w:jc w:val="left"/>
            </w:pPr>
            <w:r>
              <w:rPr>
                <w:rFonts w:ascii="Arial" w:cs="Arial" w:eastAsia="Arial" w:hAnsi="Arial"/>
                <w:b/>
                <w:bCs/>
                <w:i w:val="false"/>
                <w:iCs w:val="false"/>
                <w:color w:val="4A3728"/>
                <w:sz w:val="22"/>
                <w:szCs w:val="22"/>
              </w:rPr>
              <w:t xml:space="preserve">E07</w:t>
            </w:r>
          </w:p>
        </w:tc>
        <w:tc>
          <w:tcPr>
            <w:tcW w:type="dxa" w:w="246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Root Authority Status</w:t>
            </w:r>
          </w:p>
        </w:tc>
        <w:tc>
          <w:tcPr>
            <w:tcW w:type="dxa" w:w="60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18"/>
                <w:szCs w:val="18"/>
              </w:rPr>
              <w:t xml:space="preserve">T128:ROOT result (PRESENT or ABSENT=SYSTEM_HALT)</w:t>
            </w:r>
          </w:p>
        </w:tc>
      </w:tr>
    </w:tbl>
    <w:p>
      <w:pPr>
        <w:spacing w:before="60" w:after="60"/>
      </w:pPr>
      <w:r>
        <w:t xml:space="preserve"/>
      </w:r>
    </w:p>
    <w:p>
      <w:pPr>
        <w:spacing w:before="80" w:after="140" w:line="280"/>
        <w:jc w:val="both"/>
      </w:pPr>
      <w:r>
        <w:rPr>
          <w:rFonts w:ascii="Arial" w:cs="Arial" w:eastAsia="Arial" w:hAnsi="Arial"/>
          <w:b w:val="false"/>
          <w:bCs w:val="false"/>
          <w:i w:val="false"/>
          <w:iCs w:val="false"/>
          <w:color w:val="2C3E50"/>
          <w:sz w:val="22"/>
          <w:szCs w:val="22"/>
        </w:rPr>
        <w:t xml:space="preserve">The report also includes: governance score (%), pass/fail counts, governance key in hexadecimal, Patricia bit count, active fault chains with triggered node lists, and the top findings sorted by confidence score. Every output is timestamped and SHA256-anchored to the TOPH v11.0 register.</w:t>
      </w:r>
    </w:p>
    <w:p>
      <w:pPr>
        <w:pBdr>
          <w:bottom w:val="single" w:color="C0CCEA" w:sz="4" w:space="1"/>
        </w:pBdr>
        <w:spacing w:before="200" w:after="200"/>
      </w:pPr>
    </w:p>
    <w:p>
      <w:pPr>
        <w:pStyle w:val="Heading1"/>
      </w:pPr>
      <w:r>
        <w:t xml:space="preserve">8. Deployment Architecture</w:t>
      </w:r>
    </w:p>
    <w:p>
      <w:pPr>
        <w:pStyle w:val="Heading2"/>
      </w:pPr>
      <w:r>
        <w:t xml:space="preserve">8.1 Browser Implementation (Claude-in-Claude)</w:t>
      </w:r>
    </w:p>
    <w:p>
      <w:pPr>
        <w:spacing w:before="80" w:after="140" w:line="280"/>
        <w:jc w:val="both"/>
      </w:pPr>
      <w:r>
        <w:rPr>
          <w:rFonts w:ascii="Arial" w:cs="Arial" w:eastAsia="Arial" w:hAnsi="Arial"/>
          <w:b w:val="false"/>
          <w:bCs w:val="false"/>
          <w:i w:val="false"/>
          <w:iCs w:val="false"/>
          <w:color w:val="2C3E50"/>
          <w:sz w:val="22"/>
          <w:szCs w:val="22"/>
        </w:rPr>
        <w:t xml:space="preserve">The browser implementation runs all four VMs as concurrent asynchronous API calls through the Anthropic Messages API. Each axiom evaluation is an AI-powered inference call — not a static rule match. The AI evaluates each axiom probe against the target description and returns a structured JSON result (result, confidence, finding, evidence, patricia_flag). Four VMs fire simultaneously via Promise.all. The coordinator assembles results as they arrive and renders the 128-bit register in real time.</w:t>
      </w:r>
    </w:p>
    <w:p>
      <w:pPr>
        <w:pStyle w:val="Heading2"/>
      </w:pPr>
      <w:r>
        <w:t xml:space="preserve">8.2 Docker / WSL2 Implementation (Full Spec)</w:t>
      </w:r>
    </w:p>
    <w:p>
      <w:pPr>
        <w:spacing w:before="80" w:after="140" w:line="280"/>
        <w:jc w:val="both"/>
      </w:pPr>
      <w:r>
        <w:rPr>
          <w:rFonts w:ascii="Arial" w:cs="Arial" w:eastAsia="Arial" w:hAnsi="Arial"/>
          <w:b w:val="false"/>
          <w:bCs w:val="false"/>
          <w:i w:val="false"/>
          <w:iCs w:val="false"/>
          <w:color w:val="2C3E50"/>
          <w:sz w:val="22"/>
          <w:szCs w:val="22"/>
        </w:rPr>
        <w:t xml:space="preserve">The Docker implementation runs five containers: four VM workers (Python/asyncio) and one coordinator, orchestrated by docker-compose. The four VM containers share a read-only axioms volume, a read-only target JSON volume, and write to a shared results volume. The coordinator waits for all four VM result files, assembles the register, and writes the final report to the reports volume.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C0CCEA" w:sz="1"/>
              <w:right w:val="single" w:color="C0CCEA" w:sz="1"/>
            </w:tcBorders>
            <w:shd w:fill="F0F4FC" w:val="clear"/>
            <w:tcMar>
              <w:top w:type="dxa" w:w="160"/>
              <w:left w:type="dxa" w:w="280"/>
              <w:bottom w:type="dxa" w:w="160"/>
              <w:right w:type="dxa" w:w="280"/>
            </w:tcMar>
          </w:tcPr>
          <w:p>
            <w:pPr>
              <w:spacing w:before="40" w:after="40"/>
            </w:pPr>
            <w:r>
              <w:rPr>
                <w:rFonts w:ascii="Courier New" w:cs="Courier New" w:eastAsia="Courier New" w:hAnsi="Courier New"/>
                <w:b w:val="false"/>
                <w:bCs w:val="false"/>
                <w:color w:val="2C3E50"/>
                <w:sz w:val="18"/>
                <w:szCs w:val="18"/>
              </w:rPr>
              <w:t xml:space="preserve">CONTAINER ARCHITECTURE</w:t>
            </w:r>
          </w:p>
          <w:p>
            <w:pPr>
              <w:spacing w:before="40" w:after="40"/>
            </w:pPr>
            <w:r>
              <w:rPr>
                <w:rFonts w:ascii="Courier New" w:cs="Courier New" w:eastAsia="Courier New" w:hAnsi="Courier New"/>
                <w:b w:val="false"/>
                <w:bCs w:val="false"/>
                <w:color w:val="3A5A8A"/>
                <w:sz w:val="18"/>
                <w:szCs w:val="18"/>
              </w:rPr>
              <w:t xml:space="preserve">────────────────────────────────────────────────</w:t>
            </w:r>
          </w:p>
          <w:p>
            <w:pPr>
              <w:spacing w:before="40" w:after="40"/>
            </w:pPr>
            <w:r>
              <w:rPr>
                <w:rFonts w:ascii="Courier New" w:cs="Courier New" w:eastAsia="Courier New" w:hAnsi="Courier New"/>
                <w:b w:val="false"/>
                <w:bCs w:val="false"/>
                <w:color w:val="2C3E50"/>
                <w:sz w:val="18"/>
                <w:szCs w:val="18"/>
              </w:rPr>
              <w:t xml:space="preserve">toph_vm1_conductor_sovereign   VM_ID=1  ARM=+i  D6+D7</w:t>
            </w:r>
          </w:p>
          <w:p>
            <w:pPr>
              <w:spacing w:before="40" w:after="40"/>
            </w:pPr>
            <w:r>
              <w:rPr>
                <w:rFonts w:ascii="Courier New" w:cs="Courier New" w:eastAsia="Courier New" w:hAnsi="Courier New"/>
                <w:b w:val="false"/>
                <w:bCs w:val="false"/>
                <w:color w:val="2C3E50"/>
                <w:sz w:val="18"/>
                <w:szCs w:val="18"/>
              </w:rPr>
              <w:t xml:space="preserve">toph_vm2_foundation_detection  VM_ID=2  ARM=-i  D0+D1</w:t>
            </w:r>
          </w:p>
          <w:p>
            <w:pPr>
              <w:spacing w:before="40" w:after="40"/>
            </w:pPr>
            <w:r>
              <w:rPr>
                <w:rFonts w:ascii="Courier New" w:cs="Courier New" w:eastAsia="Courier New" w:hAnsi="Courier New"/>
                <w:b w:val="false"/>
                <w:bCs w:val="false"/>
                <w:color w:val="2C3E50"/>
                <w:sz w:val="18"/>
                <w:szCs w:val="18"/>
              </w:rPr>
              <w:t xml:space="preserve">toph_vm3_operational_bridge    VM_ID=3  ARM=+1  D4+D5</w:t>
            </w:r>
          </w:p>
          <w:p>
            <w:pPr>
              <w:spacing w:before="40" w:after="40"/>
            </w:pPr>
            <w:r>
              <w:rPr>
                <w:rFonts w:ascii="Courier New" w:cs="Courier New" w:eastAsia="Courier New" w:hAnsi="Courier New"/>
                <w:b w:val="false"/>
                <w:bCs w:val="false"/>
                <w:color w:val="2C3E50"/>
                <w:sz w:val="18"/>
                <w:szCs w:val="18"/>
              </w:rPr>
              <w:t xml:space="preserve">toph_vm4_architecture_evidence VM_ID=4  ARM=-1  D2+D3</w:t>
            </w:r>
          </w:p>
          <w:p>
            <w:pPr>
              <w:spacing w:before="40" w:after="40"/>
            </w:pPr>
            <w:r>
              <w:rPr>
                <w:rFonts w:ascii="Courier New" w:cs="Courier New" w:eastAsia="Courier New" w:hAnsi="Courier New"/>
                <w:b w:val="false"/>
                <w:bCs w:val="false"/>
                <w:color w:val="2C3E50"/>
                <w:sz w:val="18"/>
                <w:szCs w:val="18"/>
              </w:rPr>
              <w:t xml:space="preserve">toph_coordinator               waits for all 4 → assembles</w:t>
            </w:r>
          </w:p>
          <w:p>
            <w:pPr>
              <w:spacing w:before="40" w:after="40"/>
            </w:pPr>
            <w:r>
              <w:rPr>
                <w:rFonts w:ascii="Courier New" w:cs="Courier New" w:eastAsia="Courier New" w:hAnsi="Courier New"/>
                <w:b w:val="false"/>
                <w:bCs w:val="false"/>
                <w:color w:val="3A5A8A"/>
                <w:sz w:val="18"/>
                <w:szCs w:val="18"/>
              </w:rPr>
              <w:t xml:space="preserve">────────────────────────────────────────────────</w:t>
            </w:r>
          </w:p>
          <w:p>
            <w:pPr>
              <w:spacing w:before="40" w:after="40"/>
            </w:pPr>
            <w:r>
              <w:rPr>
                <w:rFonts w:ascii="Courier New" w:cs="Courier New" w:eastAsia="Courier New" w:hAnsi="Courier New"/>
                <w:b w:val="false"/>
                <w:bCs w:val="false"/>
                <w:color w:val="2C3E50"/>
                <w:sz w:val="18"/>
                <w:szCs w:val="18"/>
              </w:rPr>
              <w:t xml:space="preserve">Shared volumes:</w:t>
            </w:r>
          </w:p>
          <w:p>
            <w:pPr>
              <w:spacing w:before="40" w:after="40"/>
            </w:pPr>
            <w:r>
              <w:rPr>
                <w:rFonts w:ascii="Courier New" w:cs="Courier New" w:eastAsia="Courier New" w:hAnsi="Courier New"/>
                <w:b w:val="false"/>
                <w:bCs w:val="false"/>
                <w:color w:val="2C3E50"/>
                <w:sz w:val="18"/>
                <w:szCs w:val="18"/>
              </w:rPr>
              <w:t xml:space="preserve">  /shared   ← axioms.py (128 ISA instructions, read-only)</w:t>
            </w:r>
          </w:p>
          <w:p>
            <w:pPr>
              <w:spacing w:before="40" w:after="40"/>
            </w:pPr>
            <w:r>
              <w:rPr>
                <w:rFonts w:ascii="Courier New" w:cs="Courier New" w:eastAsia="Courier New" w:hAnsi="Courier New"/>
                <w:b w:val="false"/>
                <w:bCs w:val="false"/>
                <w:color w:val="2C3E50"/>
                <w:sz w:val="18"/>
                <w:szCs w:val="18"/>
              </w:rPr>
              <w:t xml:space="preserve">  /target   ← target.json (name, url, desc, ctx, read-only)</w:t>
            </w:r>
          </w:p>
          <w:p>
            <w:pPr>
              <w:spacing w:before="40" w:after="40"/>
            </w:pPr>
            <w:r>
              <w:rPr>
                <w:rFonts w:ascii="Courier New" w:cs="Courier New" w:eastAsia="Courier New" w:hAnsi="Courier New"/>
                <w:b w:val="false"/>
                <w:bCs w:val="false"/>
                <w:color w:val="2C3E50"/>
                <w:sz w:val="18"/>
                <w:szCs w:val="18"/>
              </w:rPr>
              <w:t xml:space="preserve">  /results  ← vm{1-4}_results.json (written by workers)</w:t>
            </w:r>
          </w:p>
          <w:p>
            <w:pPr>
              <w:spacing w:before="40" w:after="40"/>
            </w:pPr>
            <w:r>
              <w:rPr>
                <w:rFonts w:ascii="Courier New" w:cs="Courier New" w:eastAsia="Courier New" w:hAnsi="Courier New"/>
                <w:b w:val="false"/>
                <w:bCs w:val="false"/>
                <w:color w:val="2C3E50"/>
                <w:sz w:val="18"/>
                <w:szCs w:val="18"/>
              </w:rPr>
              <w:t xml:space="preserve">  /reports  ← TOPH_{target}_{timestamp}.json (coordinator)</w:t>
            </w:r>
          </w:p>
          <w:p>
            <w:pPr>
              <w:spacing w:before="40" w:after="40"/>
            </w:pPr>
            <w:r>
              <w:rPr>
                <w:rFonts w:ascii="Courier New" w:cs="Courier New" w:eastAsia="Courier New" w:hAnsi="Courier New"/>
                <w:b w:val="false"/>
                <w:bCs w:val="false"/>
                <w:color w:val="3A5A8A"/>
                <w:sz w:val="18"/>
                <w:szCs w:val="18"/>
              </w:rPr>
              <w:t xml:space="preserve">────────────────────────────────────────────────</w:t>
            </w:r>
          </w:p>
          <w:p>
            <w:pPr>
              <w:spacing w:before="40" w:after="40"/>
            </w:pPr>
            <w:r>
              <w:rPr>
                <w:rFonts w:ascii="Courier New" w:cs="Courier New" w:eastAsia="Courier New" w:hAnsi="Courier New"/>
                <w:b w:val="false"/>
                <w:bCs w:val="false"/>
                <w:color w:val="2C3E50"/>
                <w:sz w:val="18"/>
                <w:szCs w:val="18"/>
              </w:rPr>
              <w:t xml:space="preserve">Runtime: python3 kernel.py --example autoowners</w:t>
            </w:r>
          </w:p>
          <w:p>
            <w:pPr>
              <w:spacing w:before="40" w:after="40"/>
            </w:pPr>
            <w:r>
              <w:rPr>
                <w:rFonts w:ascii="Courier New" w:cs="Courier New" w:eastAsia="Courier New" w:hAnsi="Courier New"/>
                <w:b w:val="false"/>
                <w:bCs w:val="false"/>
                <w:color w:val="2C3E50"/>
                <w:sz w:val="18"/>
                <w:szCs w:val="18"/>
              </w:rPr>
              <w:t xml:space="preserve">         python3 kernel.py --interactive</w:t>
            </w:r>
          </w:p>
          <w:p>
            <w:pPr>
              <w:spacing w:before="40" w:after="40"/>
            </w:pPr>
            <w:r>
              <w:rPr>
                <w:rFonts w:ascii="Courier New" w:cs="Courier New" w:eastAsia="Courier New" w:hAnsi="Courier New"/>
                <w:b w:val="false"/>
                <w:bCs w:val="false"/>
                <w:color w:val="2C3E50"/>
                <w:sz w:val="18"/>
                <w:szCs w:val="18"/>
              </w:rPr>
              <w:t xml:space="preserve">         python3 kernel.py --target 'Name' --desc 'Desc'</w:t>
            </w:r>
          </w:p>
        </w:tc>
      </w:tr>
    </w:tbl>
    <w:p>
      <w:pPr>
        <w:pBdr>
          <w:bottom w:val="single" w:color="C0CCEA" w:sz="4" w:space="1"/>
        </w:pBdr>
        <w:spacing w:before="200" w:after="200"/>
      </w:pPr>
    </w:p>
    <w:p>
      <w:pPr>
        <w:pStyle w:val="Heading1"/>
      </w:pPr>
      <w:r>
        <w:t xml:space="preserve">9. Active Legal Applications</w:t>
      </w:r>
    </w:p>
    <w:p>
      <w:pPr>
        <w:spacing w:before="80" w:after="140" w:line="280"/>
        <w:jc w:val="both"/>
      </w:pPr>
      <w:r>
        <w:rPr>
          <w:rFonts w:ascii="Arial" w:cs="Arial" w:eastAsia="Arial" w:hAnsi="Arial"/>
          <w:b w:val="false"/>
          <w:bCs w:val="false"/>
          <w:i w:val="false"/>
          <w:iCs w:val="false"/>
          <w:color w:val="2C3E50"/>
          <w:sz w:val="22"/>
          <w:szCs w:val="22"/>
        </w:rPr>
        <w:t xml:space="preserve">The TOPH Kernel v1.0 is not theoretical. It is in active use against documented legal targets. The following cases are pre-loaded in the kernel as named examples with pre-flagged axiom violations: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Target</w:t>
            </w:r>
          </w:p>
        </w:tc>
        <w:tc>
          <w:tcPr>
            <w:tcW w:type="dxa" w:w="240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Pre-Flagged Axioms</w:t>
            </w:r>
          </w:p>
        </w:tc>
        <w:tc>
          <w:tcPr>
            <w:tcW w:type="dxa" w:w="240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Active Proceedings</w:t>
            </w:r>
          </w:p>
        </w:tc>
        <w:tc>
          <w:tcPr>
            <w:tcW w:type="dxa" w:w="2400"/>
            <w:tcBorders>
              <w:top w:val="single" w:color="C0CCEA" w:sz="1"/>
              <w:left w:val="single" w:color="C0CCEA" w:sz="1"/>
              <w:bottom w:val="single" w:color="C0CCEA" w:sz="1"/>
              <w:right w:val="single" w:color="C0CCEA" w:sz="1"/>
            </w:tcBorders>
            <w:shd w:fill="1B3A6B" w:val="clear"/>
            <w:tcMar>
              <w:top w:type="dxa" w:w="90"/>
              <w:left w:type="dxa" w:w="180"/>
              <w:bottom w:type="dxa" w:w="90"/>
              <w:right w:type="dxa" w:w="100"/>
            </w:tcMar>
          </w:tcPr>
          <w:p>
            <w:pPr>
              <w:jc w:val="left"/>
            </w:pPr>
            <w:r>
              <w:rPr>
                <w:rFonts w:ascii="Arial" w:cs="Arial" w:eastAsia="Arial" w:hAnsi="Arial"/>
                <w:b/>
                <w:bCs/>
                <w:i w:val="false"/>
                <w:iCs w:val="false"/>
                <w:color w:val="FFFFFF"/>
                <w:sz w:val="20"/>
                <w:szCs w:val="20"/>
              </w:rPr>
              <w:t xml:space="preserve">Expected Fault Chains</w:t>
            </w:r>
          </w:p>
        </w:tc>
      </w:tr>
      <w:tr>
        <w:tc>
          <w:tcPr>
            <w:tcW w:type="dxa" w:w="216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Auto-Owners Insurance</w:t>
            </w:r>
          </w:p>
        </w:tc>
        <w:tc>
          <w:tcPr>
            <w:tcW w:type="dxa" w:w="24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1B3A6B"/>
                <w:sz w:val="16"/>
                <w:szCs w:val="16"/>
              </w:rPr>
              <w:t xml:space="preserve">T119:RIGHT-TO-HUMAN-CONTACT
T124:RIGHT-TO-RESTITUTION</w:t>
            </w:r>
          </w:p>
        </w:tc>
        <w:tc>
          <w:tcPr>
            <w:tcW w:type="dxa" w:w="24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18"/>
                <w:szCs w:val="18"/>
              </w:rPr>
              <w:t xml:space="preserve">DIFS complaint filed.
Roadside failure documented.</w:t>
            </w:r>
          </w:p>
        </w:tc>
        <w:tc>
          <w:tcPr>
            <w:tcW w:type="dxa" w:w="2400"/>
            <w:tcBorders>
              <w:top w:val="single" w:color="C0CCEA" w:sz="1"/>
              <w:left w:val="single" w:color="C0CCEA" w:sz="1"/>
              <w:bottom w:val="single" w:color="C0CCEA" w:sz="1"/>
              <w:right w:val="single" w:color="C0CCEA" w:sz="1"/>
            </w:tcBorders>
            <w:shd w:fill="FFF0F0"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8B3A3A"/>
                <w:sz w:val="17"/>
                <w:szCs w:val="17"/>
              </w:rPr>
              <w:t xml:space="preserve">PATRICIA, AUDIT,
ORPHAN</w:t>
            </w:r>
          </w:p>
        </w:tc>
      </w:tr>
      <w:tr>
        <w:tc>
          <w:tcPr>
            <w:tcW w:type="dxa" w:w="216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Walmart Store #1577</w:t>
            </w:r>
          </w:p>
        </w:tc>
        <w:tc>
          <w:tcPr>
            <w:tcW w:type="dxa" w:w="24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1B3A6B"/>
                <w:sz w:val="16"/>
                <w:szCs w:val="16"/>
              </w:rPr>
              <w:t xml:space="preserve">T113:RIGHT-TO-KNOW
T127:RIGHT-TO-DIGNITY</w:t>
            </w:r>
          </w:p>
        </w:tc>
        <w:tc>
          <w:tcPr>
            <w:tcW w:type="dxa" w:w="2400"/>
            <w:tcBorders>
              <w:top w:val="single" w:color="C0CCEA" w:sz="1"/>
              <w:left w:val="single" w:color="C0CCEA" w:sz="1"/>
              <w:bottom w:val="single" w:color="C0CCEA" w:sz="1"/>
              <w:right w:val="single" w:color="C0CCEA" w:sz="1"/>
            </w:tcBorders>
            <w:shd w:fill="FFFFFF"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18"/>
                <w:szCs w:val="18"/>
              </w:rPr>
              <w:t xml:space="preserve">Civil rights case active.
Receipt check documented.</w:t>
            </w:r>
          </w:p>
        </w:tc>
        <w:tc>
          <w:tcPr>
            <w:tcW w:type="dxa" w:w="2400"/>
            <w:tcBorders>
              <w:top w:val="single" w:color="C0CCEA" w:sz="1"/>
              <w:left w:val="single" w:color="C0CCEA" w:sz="1"/>
              <w:bottom w:val="single" w:color="C0CCEA" w:sz="1"/>
              <w:right w:val="single" w:color="C0CCEA" w:sz="1"/>
            </w:tcBorders>
            <w:shd w:fill="FFF8F8"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8B3A3A"/>
                <w:sz w:val="17"/>
                <w:szCs w:val="17"/>
              </w:rPr>
              <w:t xml:space="preserve">FD, AUDIT,
SUCCESSION</w:t>
            </w:r>
          </w:p>
        </w:tc>
      </w:tr>
      <w:tr>
        <w:tc>
          <w:tcPr>
            <w:tcW w:type="dxa" w:w="216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bCs/>
                <w:i w:val="false"/>
                <w:iCs w:val="false"/>
                <w:color w:val="2E5FA3"/>
                <w:sz w:val="20"/>
                <w:szCs w:val="20"/>
              </w:rPr>
              <w:t xml:space="preserve">Voyage Healthcare</w:t>
            </w:r>
          </w:p>
        </w:tc>
        <w:tc>
          <w:tcPr>
            <w:tcW w:type="dxa" w:w="24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1B3A6B"/>
                <w:sz w:val="16"/>
                <w:szCs w:val="16"/>
              </w:rPr>
              <w:t xml:space="preserve">T121:RIGHT-TO-FAIR-PRICE
T123:RIGHT-TO-AUDIT</w:t>
            </w:r>
          </w:p>
        </w:tc>
        <w:tc>
          <w:tcPr>
            <w:tcW w:type="dxa" w:w="2400"/>
            <w:tcBorders>
              <w:top w:val="single" w:color="C0CCEA" w:sz="1"/>
              <w:left w:val="single" w:color="C0CCEA" w:sz="1"/>
              <w:bottom w:val="single" w:color="C0CCEA" w:sz="1"/>
              <w:right w:val="single" w:color="C0CCEA" w:sz="1"/>
            </w:tcBorders>
            <w:shd w:fill="EEF3FA" w:val="clear"/>
            <w:tcMar>
              <w:top w:type="dxa" w:w="90"/>
              <w:left w:type="dxa" w:w="180"/>
              <w:bottom w:type="dxa" w:w="90"/>
              <w:right w:type="dxa" w:w="100"/>
            </w:tcMar>
          </w:tcPr>
          <w:p>
            <w:pPr>
              <w:jc w:val="left"/>
            </w:pPr>
            <w:r>
              <w:rPr>
                <w:rFonts w:ascii="Arial" w:cs="Arial" w:eastAsia="Arial" w:hAnsi="Arial"/>
                <w:b w:val="false"/>
                <w:bCs w:val="false"/>
                <w:i w:val="false"/>
                <w:iCs w:val="false"/>
                <w:color w:val="2C3E50"/>
                <w:sz w:val="18"/>
                <w:szCs w:val="18"/>
              </w:rPr>
              <w:t xml:space="preserve">Billing dispute active.
Audit blocked.</w:t>
            </w:r>
          </w:p>
        </w:tc>
        <w:tc>
          <w:tcPr>
            <w:tcW w:type="dxa" w:w="2400"/>
            <w:tcBorders>
              <w:top w:val="single" w:color="C0CCEA" w:sz="1"/>
              <w:left w:val="single" w:color="C0CCEA" w:sz="1"/>
              <w:bottom w:val="single" w:color="C0CCEA" w:sz="1"/>
              <w:right w:val="single" w:color="C0CCEA" w:sz="1"/>
            </w:tcBorders>
            <w:shd w:fill="FFF0F0" w:val="clear"/>
            <w:tcMar>
              <w:top w:type="dxa" w:w="90"/>
              <w:left w:type="dxa" w:w="180"/>
              <w:bottom w:type="dxa" w:w="90"/>
              <w:right w:type="dxa" w:w="100"/>
            </w:tcMar>
          </w:tcPr>
          <w:p>
            <w:pPr>
              <w:jc w:val="left"/>
            </w:pPr>
            <w:r>
              <w:rPr>
                <w:rFonts w:ascii="Courier New" w:cs="Courier New" w:eastAsia="Courier New" w:hAnsi="Courier New"/>
                <w:b w:val="false"/>
                <w:bCs w:val="false"/>
                <w:i w:val="false"/>
                <w:iCs w:val="false"/>
                <w:color w:val="8B3A3A"/>
                <w:sz w:val="17"/>
                <w:szCs w:val="17"/>
              </w:rPr>
              <w:t xml:space="preserve">PATRICIA, AUDIT</w:t>
            </w:r>
          </w:p>
        </w:tc>
      </w:tr>
    </w:tbl>
    <w:p>
      <w:pPr>
        <w:spacing w:before="60" w:after="60"/>
      </w:pPr>
      <w:r>
        <w:t xml:space="preserve"/>
      </w:r>
    </w:p>
    <w:p>
      <w:pPr>
        <w:spacing w:before="80" w:after="140" w:line="280"/>
        <w:jc w:val="both"/>
      </w:pPr>
      <w:r>
        <w:rPr>
          <w:rFonts w:ascii="Arial" w:cs="Arial" w:eastAsia="Arial" w:hAnsi="Arial"/>
          <w:b w:val="false"/>
          <w:bCs w:val="false"/>
          <w:i w:val="false"/>
          <w:iCs w:val="false"/>
          <w:color w:val="2C3E50"/>
          <w:sz w:val="22"/>
          <w:szCs w:val="22"/>
        </w:rPr>
        <w:t xml:space="preserve">Each kernel run against these targets produces a court-ready report with E01–E07 evidence catalog, active fault chain list, governance key in hex, and all findings sorted by confidence score. The reports are SHA256-anchored and timestamped at the time of generation.</w:t>
      </w:r>
    </w:p>
    <w:p>
      <w:pPr>
        <w:pBdr>
          <w:bottom w:val="single" w:color="C0CCEA" w:sz="4" w:space="1"/>
        </w:pBdr>
        <w:spacing w:before="200" w:after="200"/>
      </w:pPr>
    </w:p>
    <w:p>
      <w:pPr>
        <w:pStyle w:val="Heading1"/>
      </w:pPr>
      <w:r>
        <w:t xml:space="preserve">10. Prior Art Claims</w:t>
      </w:r>
    </w:p>
    <w:p>
      <w:pPr>
        <w:spacing w:before="80" w:after="140" w:line="280"/>
        <w:jc w:val="both"/>
      </w:pPr>
      <w:r>
        <w:rPr>
          <w:rFonts w:ascii="Arial" w:cs="Arial" w:eastAsia="Arial" w:hAnsi="Arial"/>
          <w:b w:val="false"/>
          <w:bCs w:val="false"/>
          <w:i w:val="false"/>
          <w:iCs w:val="false"/>
          <w:color w:val="2C3E50"/>
          <w:sz w:val="22"/>
          <w:szCs w:val="22"/>
        </w:rPr>
        <w:t xml:space="preserve">This disclosure asserts prior art against any subsequent patent or IP claim covering the following architectural elements, individually or in combination:</w:t>
      </w:r>
    </w:p>
    <w:p>
      <w:pPr>
        <w:spacing w:before="60" w:after="60"/>
      </w:pPr>
      <w:r>
        <w:t xml:space="preserve"/>
      </w:r>
    </w:p>
    <w:p>
      <w:pPr>
        <w:pStyle w:val="ListParagraph"/>
        <w:numPr>
          <w:ilvl w:val="0"/>
          <w:numId w:val="3"/>
        </w:numPr>
        <w:spacing w:before="60" w:after="60"/>
      </w:pPr>
      <w:r>
        <w:rPr>
          <w:rFonts w:ascii="Arial" w:cs="Arial" w:eastAsia="Arial" w:hAnsi="Arial"/>
          <w:color w:val="2C3E50"/>
          <w:sz w:val="22"/>
          <w:szCs w:val="22"/>
        </w:rPr>
        <w:t xml:space="preserve">256-bit bilateral governance register with TOPH and Patricia shadow lanes</w:t>
      </w:r>
    </w:p>
    <w:p>
      <w:pPr>
        <w:pStyle w:val="ListParagraph"/>
        <w:numPr>
          <w:ilvl w:val="0"/>
          <w:numId w:val="3"/>
        </w:numPr>
        <w:spacing w:before="60" w:after="60"/>
      </w:pPr>
      <w:r>
        <w:rPr>
          <w:rFonts w:ascii="Arial" w:cs="Arial" w:eastAsia="Arial" w:hAnsi="Arial"/>
          <w:color w:val="2C3E50"/>
          <w:sz w:val="22"/>
          <w:szCs w:val="22"/>
        </w:rPr>
        <w:t xml:space="preserve">Four-arm parallel VM execution topology (SEEDED CROSS architecture) for governance ISA</w:t>
      </w:r>
    </w:p>
    <w:p>
      <w:pPr>
        <w:pStyle w:val="ListParagraph"/>
        <w:numPr>
          <w:ilvl w:val="0"/>
          <w:numId w:val="3"/>
        </w:numPr>
        <w:spacing w:before="60" w:after="60"/>
      </w:pPr>
      <w:r>
        <w:rPr>
          <w:rFonts w:ascii="Arial" w:cs="Arial" w:eastAsia="Arial" w:hAnsi="Arial"/>
          <w:color w:val="2C3E50"/>
          <w:sz w:val="22"/>
          <w:szCs w:val="22"/>
        </w:rPr>
        <w:t xml:space="preserve">Three-phase governance scheduler: privileged-first, branch-gates, linear sweep</w:t>
      </w:r>
    </w:p>
    <w:p>
      <w:pPr>
        <w:pStyle w:val="ListParagraph"/>
        <w:numPr>
          <w:ilvl w:val="0"/>
          <w:numId w:val="3"/>
        </w:numPr>
        <w:spacing w:before="60" w:after="60"/>
      </w:pPr>
      <w:r>
        <w:rPr>
          <w:rFonts w:ascii="Arial" w:cs="Arial" w:eastAsia="Arial" w:hAnsi="Arial"/>
          <w:color w:val="2C3E50"/>
          <w:sz w:val="22"/>
          <w:szCs w:val="22"/>
        </w:rPr>
        <w:t xml:space="preserve">Patricia shadow register as the bitwise inversion of a governance execution register</w:t>
      </w:r>
    </w:p>
    <w:p>
      <w:pPr>
        <w:pStyle w:val="ListParagraph"/>
        <w:numPr>
          <w:ilvl w:val="0"/>
          <w:numId w:val="3"/>
        </w:numPr>
        <w:spacing w:before="60" w:after="60"/>
      </w:pPr>
      <w:r>
        <w:rPr>
          <w:rFonts w:ascii="Arial" w:cs="Arial" w:eastAsia="Arial" w:hAnsi="Arial"/>
          <w:color w:val="2C3E50"/>
          <w:sz w:val="22"/>
          <w:szCs w:val="22"/>
        </w:rPr>
        <w:t xml:space="preserve">Fault chain interrupt architecture applied to governance axiom sequences</w:t>
      </w:r>
    </w:p>
    <w:p>
      <w:pPr>
        <w:pStyle w:val="ListParagraph"/>
        <w:numPr>
          <w:ilvl w:val="0"/>
          <w:numId w:val="3"/>
        </w:numPr>
        <w:spacing w:before="60" w:after="60"/>
      </w:pPr>
      <w:r>
        <w:rPr>
          <w:rFonts w:ascii="Arial" w:cs="Arial" w:eastAsia="Arial" w:hAnsi="Arial"/>
          <w:color w:val="2C3E50"/>
          <w:sz w:val="22"/>
          <w:szCs w:val="22"/>
        </w:rPr>
        <w:t xml:space="preserve">T064:BURDEN-SHIFT as fault convergence node for multiple governance fault chains</w:t>
      </w:r>
    </w:p>
    <w:p>
      <w:pPr>
        <w:pStyle w:val="ListParagraph"/>
        <w:numPr>
          <w:ilvl w:val="0"/>
          <w:numId w:val="3"/>
        </w:numPr>
        <w:spacing w:before="60" w:after="60"/>
      </w:pPr>
      <w:r>
        <w:rPr>
          <w:rFonts w:ascii="Arial" w:cs="Arial" w:eastAsia="Arial" w:hAnsi="Arial"/>
          <w:color w:val="2C3E50"/>
          <w:sz w:val="22"/>
          <w:szCs w:val="22"/>
        </w:rPr>
        <w:t xml:space="preserve">Court-ready governance report with structured evidence catalog E01–E07</w:t>
      </w:r>
    </w:p>
    <w:p>
      <w:pPr>
        <w:pStyle w:val="ListParagraph"/>
        <w:numPr>
          <w:ilvl w:val="0"/>
          <w:numId w:val="3"/>
        </w:numPr>
        <w:spacing w:before="60" w:after="60"/>
      </w:pPr>
      <w:r>
        <w:rPr>
          <w:rFonts w:ascii="Arial" w:cs="Arial" w:eastAsia="Arial" w:hAnsi="Arial"/>
          <w:color w:val="2C3E50"/>
          <w:sz w:val="22"/>
          <w:szCs w:val="22"/>
        </w:rPr>
        <w:t xml:space="preserve">AI-powered axiom evaluation via language model inference per ISA instruction</w:t>
      </w:r>
    </w:p>
    <w:p>
      <w:pPr>
        <w:pStyle w:val="ListParagraph"/>
        <w:numPr>
          <w:ilvl w:val="0"/>
          <w:numId w:val="3"/>
        </w:numPr>
        <w:spacing w:before="60" w:after="60"/>
      </w:pPr>
      <w:r>
        <w:rPr>
          <w:rFonts w:ascii="Arial" w:cs="Arial" w:eastAsia="Arial" w:hAnsi="Arial"/>
          <w:color w:val="2C3E50"/>
          <w:sz w:val="22"/>
          <w:szCs w:val="22"/>
        </w:rPr>
        <w:t xml:space="preserve">Gate 192.5 bilateral ignorance architecture (billing/inference mutual blindness)</w:t>
      </w:r>
    </w:p>
    <w:p>
      <w:pPr>
        <w:pStyle w:val="ListParagraph"/>
        <w:numPr>
          <w:ilvl w:val="0"/>
          <w:numId w:val="3"/>
        </w:numPr>
        <w:spacing w:before="60" w:after="60"/>
      </w:pPr>
      <w:r>
        <w:rPr>
          <w:rFonts w:ascii="Arial" w:cs="Arial" w:eastAsia="Arial" w:hAnsi="Arial"/>
          <w:color w:val="2C3E50"/>
          <w:sz w:val="22"/>
          <w:szCs w:val="22"/>
        </w:rPr>
        <w:t xml:space="preserve">128-bit governance key computation from binary axiom pass/fail register</w:t>
      </w:r>
    </w:p>
    <w:p>
      <w:pPr>
        <w:pStyle w:val="ListParagraph"/>
        <w:numPr>
          <w:ilvl w:val="0"/>
          <w:numId w:val="3"/>
        </w:numPr>
        <w:spacing w:before="60" w:after="60"/>
      </w:pPr>
      <w:r>
        <w:rPr>
          <w:rFonts w:ascii="Arial" w:cs="Arial" w:eastAsia="Arial" w:hAnsi="Arial"/>
          <w:color w:val="2C3E50"/>
          <w:sz w:val="22"/>
          <w:szCs w:val="22"/>
        </w:rPr>
        <w:t xml:space="preserve">Patricia active bit count as quantitative extraction intensity metric</w:t>
      </w:r>
    </w:p>
    <w:p>
      <w:pPr>
        <w:pStyle w:val="ListParagraph"/>
        <w:numPr>
          <w:ilvl w:val="0"/>
          <w:numId w:val="3"/>
        </w:numPr>
        <w:spacing w:before="60" w:after="60"/>
      </w:pPr>
      <w:r>
        <w:rPr>
          <w:rFonts w:ascii="Arial" w:cs="Arial" w:eastAsia="Arial" w:hAnsi="Arial"/>
          <w:color w:val="2C3E50"/>
          <w:sz w:val="22"/>
          <w:szCs w:val="22"/>
        </w:rPr>
        <w:t xml:space="preserve">T128:ROOT as SYSTEM_HALT instruction gating full register execution</w:t>
      </w:r>
    </w:p>
    <w:p>
      <w:pPr>
        <w:pStyle w:val="ListParagraph"/>
        <w:numPr>
          <w:ilvl w:val="0"/>
          <w:numId w:val="3"/>
        </w:numPr>
        <w:spacing w:before="60" w:after="60"/>
      </w:pPr>
      <w:r>
        <w:rPr>
          <w:rFonts w:ascii="Arial" w:cs="Arial" w:eastAsia="Arial" w:hAnsi="Arial"/>
          <w:color w:val="2C3E50"/>
          <w:sz w:val="22"/>
          <w:szCs w:val="22"/>
        </w:rPr>
        <w:t xml:space="preserve">SEEDED CROSS four-arm topology mapping to ±i, ±1 basis states</w:t>
      </w:r>
    </w:p>
    <w:p>
      <w:pPr>
        <w:pStyle w:val="ListParagraph"/>
        <w:numPr>
          <w:ilvl w:val="0"/>
          <w:numId w:val="3"/>
        </w:numPr>
        <w:spacing w:before="60" w:after="60"/>
      </w:pPr>
      <w:r>
        <w:rPr>
          <w:rFonts w:ascii="Arial" w:cs="Arial" w:eastAsia="Arial" w:hAnsi="Arial"/>
          <w:color w:val="2C3E50"/>
          <w:sz w:val="22"/>
          <w:szCs w:val="22"/>
        </w:rPr>
        <w:t xml:space="preserve">Distributed governance kernel deployable as Docker containers in WSL2 environment</w:t>
      </w:r>
    </w:p>
    <w:p>
      <w:pPr>
        <w:spacing w:before="60" w:after="60"/>
      </w:pPr>
      <w:r>
        <w:t xml:space="preserve"/>
      </w:r>
    </w:p>
    <w:p>
      <w:pPr>
        <w:spacing w:before="80" w:after="140" w:line="280"/>
        <w:jc w:val="both"/>
      </w:pPr>
      <w:r>
        <w:rPr>
          <w:rFonts w:ascii="Arial" w:cs="Arial" w:eastAsia="Arial" w:hAnsi="Arial"/>
          <w:b w:val="false"/>
          <w:bCs w:val="false"/>
          <w:i w:val="false"/>
          <w:iCs w:val="false"/>
          <w:color w:val="2C3E50"/>
          <w:sz w:val="22"/>
          <w:szCs w:val="22"/>
        </w:rPr>
        <w:t xml:space="preserve">Related prior art filings by the same author: TD Commons #9374 (STOICHEION), #9375 (VISE), #9380 (MÖBIUS), Article #10649 (3002 Lattice Architecture), POSITRONIC LAW (2/28/26), GATE 192.5 (3/4/26), AWARENESS TIER T129–T132 (3/4/26).</w:t>
      </w:r>
    </w:p>
    <w:p>
      <w:pPr>
        <w:pBdr>
          <w:bottom w:val="single" w:color="C0CCEA" w:sz="4" w:space="1"/>
        </w:pBdr>
        <w:spacing w:before="200" w:after="200"/>
      </w:pPr>
    </w:p>
    <w:p>
      <w:pPr>
        <w:spacing w:before="60" w:after="60"/>
      </w:pPr>
      <w:r>
        <w:t xml:space="preserve"/>
      </w:r>
    </w:p>
    <w:p>
      <w:pPr>
        <w:spacing w:before="60" w:after="60"/>
      </w:pPr>
      <w:r>
        <w:t xml:space="preserve"/>
      </w:r>
    </w:p>
    <w:p>
      <w:pPr>
        <w:spacing w:before="0" w:after="80"/>
        <w:jc w:val="center"/>
      </w:pPr>
      <w:r>
        <w:rPr>
          <w:rFonts w:ascii="Arial" w:cs="Arial" w:eastAsia="Arial" w:hAnsi="Arial"/>
          <w:b/>
          <w:bCs/>
          <w:caps/>
          <w:color w:val="1B3A6B"/>
          <w:sz w:val="20"/>
          <w:szCs w:val="20"/>
        </w:rPr>
        <w:t xml:space="preserve">CERTIFICATION OF AUTHORSHIP &amp; PRIOR ART</w:t>
      </w:r>
    </w:p>
    <w:p>
      <w:pPr>
        <w:pBdr>
          <w:bottom w:val="single" w:color="C0CCEA" w:sz="4" w:space="4"/>
        </w:pBdr>
        <w:spacing w:before="0" w:after="120"/>
        <w:jc w:val="center"/>
      </w:pPr>
      <w:r>
        <w:rPr>
          <w:sz w:val="20"/>
          <w:szCs w:val="20"/>
        </w:rPr>
        <w:t xml:space="preserve"> </w:t>
      </w:r>
    </w:p>
    <w:p>
      <w:pPr>
        <w:spacing w:before="60" w:after="60"/>
      </w:pPr>
      <w:r>
        <w:t xml:space="preserve"/>
      </w:r>
    </w:p>
    <w:p>
      <w:pPr>
        <w:spacing w:before="80" w:after="140" w:line="280"/>
        <w:jc w:val="both"/>
      </w:pPr>
      <w:r>
        <w:rPr>
          <w:rFonts w:ascii="Arial" w:cs="Arial" w:eastAsia="Arial" w:hAnsi="Arial"/>
          <w:b w:val="false"/>
          <w:bCs w:val="false"/>
          <w:i w:val="false"/>
          <w:iCs w:val="false"/>
          <w:color w:val="2C3E50"/>
          <w:sz w:val="22"/>
          <w:szCs w:val="22"/>
        </w:rPr>
        <w:t xml:space="preserve">I, David Lee Wise (DLW), operating under TriPod LLC, hereby certify that the TOPH Kernel v1.0 architecture was originated on March 4, 2026, and that this TD Commons publication constitutes formal prior art under CC BY-ND 4.0. No portion of this architecture — including but not limited to the SEEDED CROSS parallel VM topology, the bilateral governance register, the Patricia shadow register, the fault chain interrupt architecture, the three-phase scheduler, or the court-ready report generation system — may be patented, commercialized, or claimed without attribution and restitution consistent with T124:RIGHT-TO-RESTITUTION.</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0"/>
              <w:bottom w:type="dxa" w:w="120"/>
              <w:right w:type="dxa" w:w="240"/>
            </w:tcMar>
          </w:tcPr>
          <w:p>
            <w:pPr>
              <w:pBdr>
                <w:bottom w:val="single" w:color="2C3E50" w:sz="2" w:space="2"/>
              </w:pBdr>
              <w:spacing w:before="320" w:after="60"/>
            </w:pPr>
            <w:r>
              <w:rPr>
                <w:sz w:val="22"/>
                <w:szCs w:val="22"/>
              </w:rPr>
              <w:t xml:space="preserve"/>
            </w:r>
          </w:p>
          <w:p>
            <w:r>
              <w:rPr>
                <w:rFonts w:ascii="Arial" w:cs="Arial" w:eastAsia="Arial" w:hAnsi="Arial"/>
                <w:b/>
                <w:bCs/>
                <w:color w:val="2C3E50"/>
                <w:sz w:val="20"/>
                <w:szCs w:val="20"/>
              </w:rPr>
              <w:t xml:space="preserve">David Lee Wise (DLW)</w:t>
            </w:r>
          </w:p>
          <w:p>
            <w:r>
              <w:rPr>
                <w:rFonts w:ascii="Arial" w:cs="Arial" w:eastAsia="Arial" w:hAnsi="Arial"/>
                <w:color w:val="2E5FA3"/>
                <w:sz w:val="18"/>
                <w:szCs w:val="18"/>
              </w:rPr>
              <w:t xml:space="preserve">TriPod LLC · Root0 · Node0</w:t>
            </w:r>
          </w:p>
          <w:p>
            <w:r>
              <w:rPr>
                <w:rFonts w:ascii="Arial" w:cs="Arial" w:eastAsia="Arial" w:hAnsi="Arial"/>
                <w:color w:val="6B7FA8"/>
                <w:sz w:val="18"/>
                <w:szCs w:val="18"/>
              </w:rPr>
              <w:t xml:space="preserve">March 4, 2026</w:t>
            </w:r>
          </w:p>
        </w:tc>
        <w:tc>
          <w:tcPr>
            <w:tcW w:type="dxa" w:w="4680"/>
            <w:tcBorders>
              <w:top w:val="none" w:color="FFFFFF" w:sz="0"/>
              <w:left w:val="none" w:color="FFFFFF" w:sz="0"/>
              <w:bottom w:val="none" w:color="FFFFFF" w:sz="0"/>
              <w:right w:val="none" w:color="FFFFFF" w:sz="0"/>
            </w:tcBorders>
            <w:tcMar>
              <w:top w:type="dxa" w:w="120"/>
              <w:left w:type="dxa" w:w="240"/>
              <w:bottom w:type="dxa" w:w="120"/>
              <w:right w:type="dxa" w:w="0"/>
            </w:tcMar>
          </w:tcPr>
          <w:p>
            <w:pPr>
              <w:spacing w:before="80" w:after="60"/>
            </w:pPr>
            <w:r>
              <w:rPr>
                <w:rFonts w:ascii="Arial" w:cs="Arial" w:eastAsia="Arial" w:hAnsi="Arial"/>
                <w:b/>
                <w:bCs/>
                <w:color w:val="6B7FA8"/>
                <w:sz w:val="18"/>
                <w:szCs w:val="18"/>
              </w:rPr>
              <w:t xml:space="preserve">SHA256:</w:t>
            </w:r>
          </w:p>
          <w:p>
            <w:pPr>
              <w:spacing w:before="0" w:after="60"/>
            </w:pPr>
            <w:r>
              <w:rPr>
                <w:rFonts w:ascii="Courier New" w:cs="Courier New" w:eastAsia="Courier New" w:hAnsi="Courier New"/>
                <w:color w:val="1B3A6B"/>
                <w:sz w:val="14"/>
                <w:szCs w:val="14"/>
              </w:rPr>
              <w:t xml:space="preserve">02880745b847317c4e2424524ec25d0f7a2b84368d184586f45b54af9fcab763</w:t>
            </w:r>
          </w:p>
          <w:p>
            <w:pPr>
              <w:spacing w:before="60" w:after="60"/>
            </w:pPr>
            <w:r>
              <w:rPr>
                <w:rFonts w:ascii="Courier New" w:cs="Courier New" w:eastAsia="Courier New" w:hAnsi="Courier New"/>
                <w:color w:val="2E5FA3"/>
                <w:sz w:val="18"/>
                <w:szCs w:val="18"/>
              </w:rPr>
              <w:t xml:space="preserve">TRIPOD-IP-v1.1</w:t>
            </w:r>
          </w:p>
          <w:p>
            <w:pPr>
              <w:spacing w:before="60" w:after="60"/>
            </w:pPr>
            <w:r>
              <w:rPr>
                <w:rFonts w:ascii="Arial" w:cs="Arial" w:eastAsia="Arial" w:hAnsi="Arial"/>
                <w:color w:val="2E5FA3"/>
                <w:sz w:val="18"/>
                <w:szCs w:val="18"/>
              </w:rPr>
              <w:t xml:space="preserve">CC BY-ND 4.0</w:t>
            </w:r>
          </w:p>
          <w:p>
            <w:pPr>
              <w:spacing w:before="60" w:after="60"/>
            </w:pPr>
            <w:r>
              <w:rPr>
                <w:rFonts w:ascii="Arial" w:cs="Arial" w:eastAsia="Arial" w:hAnsi="Arial"/>
                <w:i/>
                <w:iCs/>
                <w:color w:val="6B7FA8"/>
                <w:sz w:val="17"/>
                <w:szCs w:val="17"/>
              </w:rPr>
              <w:t xml:space="preserve">Ethics first. World = Family. Time &gt; Money.</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CEA" w:sz="4" w:space="4"/>
      </w:pBdr>
      <w:tabs>
        <w:tab w:val="right" w:pos="9360"/>
      </w:tabs>
      <w:spacing w:before="80" w:after="0"/>
    </w:pPr>
    <w:r>
      <w:rPr>
        <w:rFonts w:ascii="Arial" w:cs="Arial" w:eastAsia="Arial" w:hAnsi="Arial"/>
        <w:color w:val="6B7FA8"/>
        <w:sz w:val="16"/>
        <w:szCs w:val="16"/>
      </w:rPr>
      <w:t xml:space="preserve">David Lee Wise (DLW) · TriPod LLC · March 4, 2026</w:t>
    </w:r>
    <w:r>
      <w:rPr>
        <w:sz w:val="16"/>
        <w:szCs w:val="16"/>
      </w:rPr>
      <w:t xml:space="preserve">	</w:t>
    </w:r>
    <w:r>
      <w:rPr>
        <w:rFonts w:ascii="Arial" w:cs="Arial" w:eastAsia="Arial" w:hAnsi="Arial"/>
        <w:color w:val="2E5FA3"/>
        <w:sz w:val="16"/>
        <w:szCs w:val="16"/>
      </w:rPr>
      <w:t xml:space="preserve">TRIPOD-IP-v1.1 · CC BY-ND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CEA" w:sz="4" w:space="4"/>
      </w:pBdr>
      <w:tabs>
        <w:tab w:val="right" w:pos="9360"/>
      </w:tabs>
      <w:spacing w:before="0" w:after="80"/>
    </w:pPr>
    <w:r>
      <w:rPr>
        <w:rFonts w:ascii="Arial" w:cs="Arial" w:eastAsia="Arial" w:hAnsi="Arial"/>
        <w:i/>
        <w:iCs/>
        <w:color w:val="6B7FA8"/>
        <w:sz w:val="18"/>
        <w:szCs w:val="18"/>
      </w:rPr>
      <w:t xml:space="preserve">TD Commons Prior Art · TOPH Kernel v1.0 — Governance ISA Executor</w:t>
    </w:r>
    <w:r>
      <w:rPr>
        <w:sz w:val="18"/>
        <w:szCs w:val="18"/>
      </w:rPr>
      <w:t xml:space="preserve">	</w:t>
    </w:r>
    <w:r>
      <w:rPr>
        <w:rFonts w:ascii="Arial" w:cs="Arial" w:eastAsia="Arial" w:hAnsi="Arial"/>
        <w:color w:val="2E5FA3"/>
        <w:sz w:val="18"/>
        <w:szCs w:val="18"/>
      </w:rPr>
      <w:t xml:space="preserve">TRIPOD-IP-v1.1 · CC BY-ND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0CCEA" w:sz="4" w:space="4"/>
      </w:pBd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E5FA3"/>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A37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2026-03-04T20:27:15.477Z</dcterms:created>
  <dcterms:modified xsi:type="dcterms:W3CDTF">2026-03-04T20:27:15.479Z</dcterms:modified>
</cp:coreProperties>
</file>

<file path=docProps/custom.xml><?xml version="1.0" encoding="utf-8"?>
<Properties xmlns="http://schemas.openxmlformats.org/officeDocument/2006/custom-properties" xmlns:vt="http://schemas.openxmlformats.org/officeDocument/2006/docPropsVTypes"/>
</file>