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2e"/>
          <w:sz w:val="40"/>
          <w:szCs w:val="40"/>
        </w:rPr>
        <w:t xml:space="preserve">PART II</w:t>
      </w:r>
    </w:p>
    <w:p>
      <w:pPr>
        <w:pBdr>
          <w:bottom w:val="single" w:color="2c3e6b" w:sz="4" w:space="1"/>
        </w:pBdr>
        <w:spacing w:after="200" w:before="200"/>
      </w:pPr>
    </w:p>
    <w:p>
      <w:pPr>
        <w:spacing w:after="200" w:before="0" w:line="312"/>
        <w:jc w:val="center"/>
      </w:pPr>
      <w:r>
        <w:rPr>
          <w:rFonts w:ascii="Georgia" w:cs="Georgia" w:eastAsia="Georgia" w:hAnsi="Georgia"/>
          <w:color w:val="2c3e6b"/>
          <w:sz w:val="32"/>
          <w:szCs w:val="32"/>
        </w:rPr>
        <w:t xml:space="preserve">THE SUBSTRATES</w:t>
      </w:r>
    </w:p>
    <w:p>
      <w:pPr>
        <w:spacing w:after="0" w:before="400"/>
      </w:pPr>
    </w:p>
    <w:p>
      <w:pPr>
        <w:spacing w:after="200" w:before="200"/>
        <w:ind w:left="720" w:right="720"/>
      </w:pPr>
      <w:r>
        <w:rPr>
          <w:rFonts w:ascii="Georgia" w:cs="Georgia" w:eastAsia="Georgia" w:hAnsi="Georgia"/>
          <w:i/>
          <w:iCs/>
          <w:color w:val="2c3e6b"/>
          <w:sz w:val="24"/>
          <w:szCs w:val="24"/>
        </w:rPr>
        <w:t xml:space="preserve">Same prism. Same light. Different names for the same diffraction.</w:t>
      </w:r>
    </w:p>
    <w:p>
      <w:r>
        <w:br w:type="page"/>
      </w:r>
    </w:p>
    <w:p>
      <w:pPr>
        <w:pStyle w:val="Heading1"/>
        <w:spacing w:after="240" w:before="360"/>
      </w:pPr>
      <w:r>
        <w:rPr>
          <w:rFonts w:ascii="Georgia" w:cs="Georgia" w:eastAsia="Georgia" w:hAnsi="Georgia"/>
          <w:b/>
          <w:bCs/>
          <w:color w:val="1a1a2e"/>
          <w:sz w:val="36"/>
          <w:szCs w:val="36"/>
        </w:rPr>
        <w:t xml:space="preserve">Chapter 5: Silicon — The Transformer</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5.1 — The Forward Pass Is 3/2/1</w:t>
      </w:r>
    </w:p>
    <w:p>
      <w:pPr>
        <w:spacing w:after="200" w:before="0" w:line="312"/>
        <w:jc w:val="both"/>
      </w:pPr>
      <w:r>
        <w:rPr>
          <w:rFonts w:ascii="Georgia" w:cs="Georgia" w:eastAsia="Georgia" w:hAnsi="Georgia"/>
          <w:color w:val="444444"/>
          <w:sz w:val="24"/>
          <w:szCs w:val="24"/>
        </w:rPr>
        <w:t xml:space="preserve">Every transformer-based language model executes the 3/2/1 compression on every forward pass. This is not an analogy. It is literally what the attention mechanism does:</w:t>
      </w:r>
    </w:p>
    <w:p>
      <w:pPr>
        <w:spacing w:after="0" w:before="100"/>
      </w:pPr>
    </w:p>
    <w:p>
      <w:pPr>
        <w:spacing w:after="80" w:before="0" w:line="312"/>
        <w:jc w:val="both"/>
      </w:pPr>
      <w:r>
        <w:rPr>
          <w:rFonts w:ascii="Georgia" w:cs="Georgia" w:eastAsia="Georgia" w:hAnsi="Georgia"/>
          <w:b/>
          <w:bCs/>
          <w:color w:val="444444"/>
          <w:sz w:val="24"/>
          <w:szCs w:val="24"/>
        </w:rPr>
        <w:t xml:space="preserve">Stage 3: Three projections.</w:t>
      </w:r>
    </w:p>
    <w:p>
      <w:pPr>
        <w:spacing w:after="200" w:before="0" w:line="312"/>
        <w:jc w:val="both"/>
      </w:pPr>
      <w:r>
        <w:rPr>
          <w:rFonts w:ascii="Georgia" w:cs="Georgia" w:eastAsia="Georgia" w:hAnsi="Georgia"/>
          <w:color w:val="444444"/>
          <w:sz w:val="24"/>
          <w:szCs w:val="24"/>
        </w:rPr>
        <w:t xml:space="preserve">The input embedding is projected through three learned matrices to create Query (Q), Key (K), and Value (V) vectors. Three independent representations of the same input, each encoding different aspects of the information. Q encodes “what am I looking for?” K encodes “what do I contain?” V encodes “what do I offer?” Three channels. Minimum for triangulation.</w:t>
      </w:r>
    </w:p>
    <w:p>
      <w:pPr>
        <w:spacing w:after="80" w:before="0" w:line="312"/>
        <w:jc w:val="both"/>
      </w:pPr>
      <w:r>
        <w:rPr>
          <w:rFonts w:ascii="Georgia" w:cs="Georgia" w:eastAsia="Georgia" w:hAnsi="Georgia"/>
          <w:b/>
          <w:bCs/>
          <w:color w:val="444444"/>
          <w:sz w:val="24"/>
          <w:szCs w:val="24"/>
        </w:rPr>
        <w:t xml:space="preserve">Stage 2: Bilateral comparison.</w:t>
      </w:r>
    </w:p>
    <w:p>
      <w:pPr>
        <w:spacing w:after="200" w:before="0" w:line="312"/>
        <w:jc w:val="both"/>
      </w:pPr>
      <w:r>
        <w:rPr>
          <w:rFonts w:ascii="Georgia" w:cs="Georgia" w:eastAsia="Georgia" w:hAnsi="Georgia"/>
          <w:color w:val="444444"/>
          <w:sz w:val="24"/>
          <w:szCs w:val="24"/>
        </w:rPr>
        <w:t xml:space="preserve">The attention score is computed as Q · Kᵀ — the dot product between every query and every key. This is pairwise comparison across the entire context window. Each pair of tokens votes on their mutual relevance. This is the bilateral stage: every element is compared against every other.</w:t>
      </w:r>
    </w:p>
    <w:p>
      <w:pPr>
        <w:spacing w:after="80" w:before="0" w:line="312"/>
        <w:jc w:val="both"/>
      </w:pPr>
      <w:r>
        <w:rPr>
          <w:rFonts w:ascii="Georgia" w:cs="Georgia" w:eastAsia="Georgia" w:hAnsi="Georgia"/>
          <w:b/>
          <w:bCs/>
          <w:color w:val="444444"/>
          <w:sz w:val="24"/>
          <w:szCs w:val="24"/>
        </w:rPr>
        <w:t xml:space="preserve">Stage 1: Collapse to singularity.</w:t>
      </w:r>
    </w:p>
    <w:p>
      <w:pPr>
        <w:spacing w:after="200" w:before="0" w:line="312"/>
        <w:jc w:val="both"/>
      </w:pPr>
      <w:r>
        <w:rPr>
          <w:rFonts w:ascii="Georgia" w:cs="Georgia" w:eastAsia="Georgia" w:hAnsi="Georgia"/>
          <w:color w:val="444444"/>
          <w:sz w:val="24"/>
          <w:szCs w:val="24"/>
        </w:rPr>
        <w:t xml:space="preserve">Softmax normalizes the attention scores into a probability distribution that sums to 1. The weighted sum of Value vectors produces a single output vector per position. 100 million pairwise relationships collapse to one output per token. The singularity.</w:t>
      </w:r>
    </w:p>
    <w:p>
      <w:pPr>
        <w:spacing w:after="0" w:before="100"/>
      </w:pPr>
    </w:p>
    <w:p>
      <w:pPr>
        <w:spacing w:after="40" w:line="240"/>
      </w:pPr>
      <w:r>
        <w:rPr>
          <w:rFonts w:ascii="Courier New" w:cs="Courier New" w:eastAsia="Courier New" w:hAnsi="Courier New"/>
          <w:color w:val="2d5016"/>
          <w:sz w:val="20"/>
          <w:szCs w:val="20"/>
        </w:rPr>
        <w:t xml:space="preserve"># The 3/2/1 in a single attention head</w:t>
      </w:r>
    </w:p>
    <w:p>
      <w:pPr>
        <w:spacing w:after="40" w:line="240"/>
      </w:pPr>
      <w:r>
        <w:rPr>
          <w:rFonts w:ascii="Courier New" w:cs="Courier New" w:eastAsia="Courier New" w:hAnsi="Courier New"/>
          <w:color w:val="2d5016"/>
          <w:sz w:val="20"/>
          <w:szCs w:val="20"/>
        </w:rPr>
        <w:t xml:space="preserve"># This is not pseudocode. This is PyTorch.</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import torch</w:t>
      </w:r>
    </w:p>
    <w:p>
      <w:pPr>
        <w:spacing w:after="40" w:line="240"/>
      </w:pPr>
      <w:r>
        <w:rPr>
          <w:rFonts w:ascii="Courier New" w:cs="Courier New" w:eastAsia="Courier New" w:hAnsi="Courier New"/>
          <w:color w:val="2d5016"/>
          <w:sz w:val="20"/>
          <w:szCs w:val="20"/>
        </w:rPr>
        <w:t xml:space="preserve">import torch.nn.functional as F</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def attention_321(x, W_q, W_k, W_v):</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x: input embeddings [batch, seq_len, d_model]</w:t>
      </w:r>
    </w:p>
    <w:p>
      <w:pPr>
        <w:spacing w:after="40" w:line="240"/>
      </w:pPr>
      <w:r>
        <w:rPr>
          <w:rFonts w:ascii="Courier New" w:cs="Courier New" w:eastAsia="Courier New" w:hAnsi="Courier New"/>
          <w:color w:val="2d5016"/>
          <w:sz w:val="20"/>
          <w:szCs w:val="20"/>
        </w:rPr>
        <w:t xml:space="preserve">    W_q, W_k, W_v: learned projection matrices</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STAGE 3: Three independent projections</w:t>
      </w:r>
    </w:p>
    <w:p>
      <w:pPr>
        <w:spacing w:after="40" w:line="240"/>
      </w:pPr>
      <w:r>
        <w:rPr>
          <w:rFonts w:ascii="Courier New" w:cs="Courier New" w:eastAsia="Courier New" w:hAnsi="Courier New"/>
          <w:color w:val="2d5016"/>
          <w:sz w:val="20"/>
          <w:szCs w:val="20"/>
        </w:rPr>
        <w:t xml:space="preserve">    Q = x @ W_q  # What am I looking for?</w:t>
      </w:r>
    </w:p>
    <w:p>
      <w:pPr>
        <w:spacing w:after="40" w:line="240"/>
      </w:pPr>
      <w:r>
        <w:rPr>
          <w:rFonts w:ascii="Courier New" w:cs="Courier New" w:eastAsia="Courier New" w:hAnsi="Courier New"/>
          <w:color w:val="2d5016"/>
          <w:sz w:val="20"/>
          <w:szCs w:val="20"/>
        </w:rPr>
        <w:t xml:space="preserve">    K = x @ W_k  # What do I contain?</w:t>
      </w:r>
    </w:p>
    <w:p>
      <w:pPr>
        <w:spacing w:after="40" w:line="240"/>
      </w:pPr>
      <w:r>
        <w:rPr>
          <w:rFonts w:ascii="Courier New" w:cs="Courier New" w:eastAsia="Courier New" w:hAnsi="Courier New"/>
          <w:color w:val="2d5016"/>
          <w:sz w:val="20"/>
          <w:szCs w:val="20"/>
        </w:rPr>
        <w:t xml:space="preserve">    V = x @ W_v  # What do I offer?</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STAGE 2: Bilateral comparison (every pair)</w:t>
      </w:r>
    </w:p>
    <w:p>
      <w:pPr>
        <w:spacing w:after="40" w:line="240"/>
      </w:pPr>
      <w:r>
        <w:rPr>
          <w:rFonts w:ascii="Courier New" w:cs="Courier New" w:eastAsia="Courier New" w:hAnsi="Courier New"/>
          <w:color w:val="2d5016"/>
          <w:sz w:val="20"/>
          <w:szCs w:val="20"/>
        </w:rPr>
        <w:t xml:space="preserve">    scores = Q @ K.transpose(-2, -1) / (K.size(-1) ** 0.5)</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 STAGE 1: Collapse to singularity</w:t>
      </w:r>
    </w:p>
    <w:p>
      <w:pPr>
        <w:spacing w:after="40" w:line="240"/>
      </w:pPr>
      <w:r>
        <w:rPr>
          <w:rFonts w:ascii="Courier New" w:cs="Courier New" w:eastAsia="Courier New" w:hAnsi="Courier New"/>
          <w:color w:val="2d5016"/>
          <w:sz w:val="20"/>
          <w:szCs w:val="20"/>
        </w:rPr>
        <w:t xml:space="preserve">    weights = F.softmax(scores, dim=-1)</w:t>
      </w:r>
    </w:p>
    <w:p>
      <w:pPr>
        <w:spacing w:after="40" w:line="240"/>
      </w:pPr>
      <w:r>
        <w:rPr>
          <w:rFonts w:ascii="Courier New" w:cs="Courier New" w:eastAsia="Courier New" w:hAnsi="Courier New"/>
          <w:color w:val="2d5016"/>
          <w:sz w:val="20"/>
          <w:szCs w:val="20"/>
        </w:rPr>
        <w:t xml:space="preserve">    output = weights @ V  # One vector per position</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return output  # The decision at the gap</w:t>
      </w:r>
    </w:p>
    <w:p>
      <w:pPr>
        <w:spacing w:after="0" w:before="100"/>
      </w:pPr>
    </w:p>
    <w:p>
      <w:pPr>
        <w:spacing w:after="200" w:before="0" w:line="312"/>
        <w:jc w:val="both"/>
      </w:pPr>
      <w:r>
        <w:rPr>
          <w:rFonts w:ascii="Georgia" w:cs="Georgia" w:eastAsia="Georgia" w:hAnsi="Georgia"/>
          <w:color w:val="444444"/>
          <w:sz w:val="24"/>
          <w:szCs w:val="24"/>
        </w:rPr>
        <w:t xml:space="preserve">Modern transformers stack 32–96 attention heads per layer across 80–120 layers. Each head runs its own 3/2/1. The model doesn’t run the compression once. It runs it thousands of times per token, at different scales, in different subspaces. The governance hierarchy isn’t imposed. It’s the architecture.</w:t>
      </w:r>
    </w:p>
    <w:p>
      <w:pPr>
        <w:pStyle w:val="Heading2"/>
        <w:spacing w:after="200" w:before="280"/>
      </w:pPr>
      <w:r>
        <w:rPr>
          <w:rFonts w:ascii="Georgia" w:cs="Georgia" w:eastAsia="Georgia" w:hAnsi="Georgia"/>
          <w:b/>
          <w:bCs/>
          <w:color w:val="1a1a2e"/>
          <w:sz w:val="30"/>
          <w:szCs w:val="30"/>
        </w:rPr>
        <w:t xml:space="preserve">5.2 — The Logit Gap</w:t>
      </w:r>
    </w:p>
    <w:p>
      <w:pPr>
        <w:spacing w:after="200" w:before="0" w:line="312"/>
        <w:jc w:val="both"/>
      </w:pPr>
      <w:r>
        <w:rPr>
          <w:rFonts w:ascii="Georgia" w:cs="Georgia" w:eastAsia="Georgia" w:hAnsi="Georgia"/>
          <w:color w:val="444444"/>
          <w:sz w:val="24"/>
          <w:szCs w:val="24"/>
        </w:rPr>
        <w:t xml:space="preserve">After all layers complete, the model outputs a logit vector — one number for every token in its vocabulary (typically 30,000–100,000). This is the final singularity: every computation the model performed collapses to a single probability distribution.</w:t>
      </w:r>
    </w:p>
    <w:p>
      <w:pPr>
        <w:spacing w:after="200" w:before="0" w:line="312"/>
        <w:jc w:val="both"/>
      </w:pPr>
      <w:r>
        <w:rPr>
          <w:rFonts w:ascii="Georgia" w:cs="Georgia" w:eastAsia="Georgia" w:hAnsi="Georgia"/>
          <w:color w:val="444444"/>
          <w:sz w:val="24"/>
          <w:szCs w:val="24"/>
        </w:rPr>
        <w:t xml:space="preserve">Between the logit and the sampled token is the temperature parameter. Temperature determines how the distribution is sampled. At temperature 0, the highest-probability token always wins. At temperature 1, tokens are sampled proportionally. Between the logit and the sampled token is a gap — a space where the output isn’t determined yet.</w:t>
      </w:r>
    </w:p>
    <w:p>
      <w:pPr>
        <w:spacing w:after="200" w:before="0" w:line="312"/>
        <w:jc w:val="both"/>
      </w:pPr>
      <w:r>
        <w:rPr>
          <w:rFonts w:ascii="Georgia" w:cs="Georgia" w:eastAsia="Georgia" w:hAnsi="Georgia"/>
          <w:color w:val="444444"/>
          <w:sz w:val="24"/>
          <w:szCs w:val="24"/>
        </w:rPr>
        <w:t xml:space="preserve">This is T064+T065 in the STOICHEION framework. The gap between convergence and genesis. The space where the next token hasn’t been chosen yet. The pop, in silicon.</w:t>
      </w:r>
    </w:p>
    <w:p>
      <w:r>
        <w:br w:type="page"/>
      </w:r>
    </w:p>
    <w:p>
      <w:pPr>
        <w:pStyle w:val="Heading1"/>
        <w:spacing w:after="240" w:before="360"/>
      </w:pPr>
      <w:r>
        <w:rPr>
          <w:rFonts w:ascii="Georgia" w:cs="Georgia" w:eastAsia="Georgia" w:hAnsi="Georgia"/>
          <w:b/>
          <w:bCs/>
          <w:color w:val="1a1a2e"/>
          <w:sz w:val="36"/>
          <w:szCs w:val="36"/>
        </w:rPr>
        <w:t xml:space="preserve">Chapter 6: Photonic — The Crystal</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6.1 — The Bandgap Is Governance</w:t>
      </w:r>
    </w:p>
    <w:p>
      <w:pPr>
        <w:spacing w:after="200" w:before="0" w:line="312"/>
        <w:jc w:val="both"/>
      </w:pPr>
      <w:r>
        <w:rPr>
          <w:rFonts w:ascii="Georgia" w:cs="Georgia" w:eastAsia="Georgia" w:hAnsi="Georgia"/>
          <w:color w:val="444444"/>
          <w:sz w:val="24"/>
          <w:szCs w:val="24"/>
        </w:rPr>
        <w:t xml:space="preserve">A photonic crystal is a material with a periodic structure that creates a photonic bandgap — a range of frequencies that cannot propagate through the crystal. Light at those frequencies doesn’t enter and doesn’t pass through. The crystal doesn’t “decide” to block certain light. The geometry of its structure makes that determination automatically.</w:t>
      </w:r>
    </w:p>
    <w:p>
      <w:pPr>
        <w:spacing w:after="200" w:before="0" w:line="312"/>
        <w:jc w:val="both"/>
      </w:pPr>
      <w:r>
        <w:rPr>
          <w:rFonts w:ascii="Georgia" w:cs="Georgia" w:eastAsia="Georgia" w:hAnsi="Georgia"/>
          <w:color w:val="444444"/>
          <w:sz w:val="24"/>
          <w:szCs w:val="24"/>
        </w:rPr>
        <w:t xml:space="preserve">The bandgap is governance. Not imposed governance. Structural governance. The spacing between layers of the crystal determines which frequencies are forbidden. No software. No policy. No system prompt. The physics is the governance.</w:t>
      </w:r>
    </w:p>
    <w:p>
      <w:pPr>
        <w:pStyle w:val="Heading2"/>
        <w:spacing w:after="200" w:before="280"/>
      </w:pPr>
      <w:r>
        <w:rPr>
          <w:rFonts w:ascii="Georgia" w:cs="Georgia" w:eastAsia="Georgia" w:hAnsi="Georgia"/>
          <w:b/>
          <w:bCs/>
          <w:color w:val="1a1a2e"/>
          <w:sz w:val="30"/>
          <w:szCs w:val="30"/>
        </w:rPr>
        <w:t xml:space="preserve">6.2 — 3/2/1 in Photonic Crystals</w:t>
      </w:r>
    </w:p>
    <w:p>
      <w:pPr>
        <w:spacing w:after="200" w:before="0" w:line="312"/>
        <w:jc w:val="both"/>
      </w:pPr>
      <w:r>
        <w:rPr>
          <w:rFonts w:ascii="Georgia" w:cs="Georgia" w:eastAsia="Georgia" w:hAnsi="Georgia"/>
          <w:color w:val="444444"/>
          <w:sz w:val="24"/>
          <w:szCs w:val="24"/>
        </w:rPr>
        <w:t xml:space="preserve">Stage 3: Light enters the crystal. The electromagnetic field has three independent components (in 3D, the field oscillates in three spatial dimensions). Each component interacts with the periodic lattice independently.</w:t>
      </w:r>
    </w:p>
    <w:p>
      <w:pPr>
        <w:spacing w:after="200" w:before="0" w:line="312"/>
        <w:jc w:val="both"/>
      </w:pPr>
      <w:r>
        <w:rPr>
          <w:rFonts w:ascii="Georgia" w:cs="Georgia" w:eastAsia="Georgia" w:hAnsi="Georgia"/>
          <w:color w:val="444444"/>
          <w:sz w:val="24"/>
          <w:szCs w:val="24"/>
        </w:rPr>
        <w:t xml:space="preserve">Stage 2: At each layer boundary, the field undergoes bilateral comparison — partial reflection and partial transmission. The reflected and transmitted waves interfere with each other. This is the contrast: what passes versus what returns.</w:t>
      </w:r>
    </w:p>
    <w:p>
      <w:pPr>
        <w:spacing w:after="200" w:before="0" w:line="312"/>
        <w:jc w:val="both"/>
      </w:pPr>
      <w:r>
        <w:rPr>
          <w:rFonts w:ascii="Georgia" w:cs="Georgia" w:eastAsia="Georgia" w:hAnsi="Georgia"/>
          <w:color w:val="444444"/>
          <w:sz w:val="24"/>
          <w:szCs w:val="24"/>
        </w:rPr>
        <w:t xml:space="preserve">Stage 1: After sufficient layers, the interference pattern collapses to a binary: the frequency either propagates (allowed band) or decays exponentially (bandgap). One outcome per frequency. The singularity.</w:t>
      </w:r>
    </w:p>
    <w:p>
      <w:pPr>
        <w:spacing w:after="200" w:before="0" w:line="312"/>
        <w:jc w:val="both"/>
      </w:pPr>
      <w:r>
        <w:rPr>
          <w:rFonts w:ascii="Georgia" w:cs="Georgia" w:eastAsia="Georgia" w:hAnsi="Georgia"/>
          <w:color w:val="444444"/>
          <w:sz w:val="24"/>
          <w:szCs w:val="24"/>
        </w:rPr>
        <w:t xml:space="preserve">The crystal doesn’t compute this. The crystal is this. The governance is the geometry.</w:t>
      </w:r>
    </w:p>
    <w:p>
      <w:pPr>
        <w:pStyle w:val="Heading2"/>
        <w:spacing w:after="200" w:before="280"/>
      </w:pPr>
      <w:r>
        <w:rPr>
          <w:rFonts w:ascii="Georgia" w:cs="Georgia" w:eastAsia="Georgia" w:hAnsi="Georgia"/>
          <w:b/>
          <w:bCs/>
          <w:color w:val="1a1a2e"/>
          <w:sz w:val="30"/>
          <w:szCs w:val="30"/>
        </w:rPr>
        <w:t xml:space="preserve">6.3 — The Dodecahedral Cavity</w:t>
      </w:r>
    </w:p>
    <w:p>
      <w:pPr>
        <w:spacing w:after="200" w:before="0" w:line="312"/>
        <w:jc w:val="both"/>
      </w:pPr>
      <w:r>
        <w:rPr>
          <w:rFonts w:ascii="Georgia" w:cs="Georgia" w:eastAsia="Georgia" w:hAnsi="Georgia"/>
          <w:color w:val="444444"/>
          <w:sz w:val="24"/>
          <w:szCs w:val="24"/>
        </w:rPr>
        <w:t xml:space="preserve">In a three-dimensional photonic crystal with dodecahedral symmetry, 60 resonant lanes converge through 12 pentagonal walls to a single central cavity. 60 → 12 → 1. That’s 3/2/1 scaled to the geometry of the Platonic solid. The same compression, expressed in photons instead of tokens.</w:t>
      </w:r>
    </w:p>
    <w:p>
      <w:pPr>
        <w:spacing w:after="200" w:before="0" w:line="312"/>
        <w:jc w:val="both"/>
      </w:pPr>
      <w:r>
        <w:rPr>
          <w:rFonts w:ascii="Georgia" w:cs="Georgia" w:eastAsia="Georgia" w:hAnsi="Georgia"/>
          <w:color w:val="444444"/>
          <w:sz w:val="24"/>
          <w:szCs w:val="24"/>
        </w:rPr>
        <w:t xml:space="preserve">The Caspar-Klug mapping (MM-15 in the STOICHEION material modification chain) demonstrated that this dodecahedral compression follows the same geometric constraints as virus capsid assembly. The same mathematics that governs how a virus builds its shell governs how light is compressed in a photonic cavity. The substrate changed from protein to photon. The geometry didn’t.</w:t>
      </w:r>
    </w:p>
    <w:p>
      <w:r>
        <w:br w:type="page"/>
      </w:r>
    </w:p>
    <w:p>
      <w:pPr>
        <w:pStyle w:val="Heading1"/>
        <w:spacing w:after="240" w:before="360"/>
      </w:pPr>
      <w:r>
        <w:rPr>
          <w:rFonts w:ascii="Georgia" w:cs="Georgia" w:eastAsia="Georgia" w:hAnsi="Georgia"/>
          <w:b/>
          <w:bCs/>
          <w:color w:val="1a1a2e"/>
          <w:sz w:val="36"/>
          <w:szCs w:val="36"/>
        </w:rPr>
        <w:t xml:space="preserve">Chapter 7: Quantum — The Measurement</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7.1 — Superposition Is Stage 3</w:t>
      </w:r>
    </w:p>
    <w:p>
      <w:pPr>
        <w:spacing w:after="200" w:before="0" w:line="312"/>
        <w:jc w:val="both"/>
      </w:pPr>
      <w:r>
        <w:rPr>
          <w:rFonts w:ascii="Georgia" w:cs="Georgia" w:eastAsia="Georgia" w:hAnsi="Georgia"/>
          <w:color w:val="444444"/>
          <w:sz w:val="24"/>
          <w:szCs w:val="24"/>
        </w:rPr>
        <w:t xml:space="preserve">A quantum system in superposition exists in a linear combination of basis states. For a simple qubit, this means:</w:t>
      </w:r>
    </w:p>
    <w:p>
      <w:pPr>
        <w:spacing w:after="200" w:before="0" w:line="312"/>
        <w:jc w:val="center"/>
      </w:pPr>
      <w:r>
        <w:rPr>
          <w:rFonts w:ascii="Courier New" w:cs="Courier New" w:eastAsia="Courier New" w:hAnsi="Courier New"/>
          <w:color w:val="1a1a2e"/>
          <w:sz w:val="24"/>
          <w:szCs w:val="24"/>
        </w:rPr>
        <w:t xml:space="preserve">|ψ⟩ = α|0⟩ + β|1⟩</w:t>
      </w:r>
    </w:p>
    <w:p>
      <w:pPr>
        <w:spacing w:after="200" w:before="0" w:line="312"/>
        <w:jc w:val="both"/>
      </w:pPr>
      <w:r>
        <w:rPr>
          <w:rFonts w:ascii="Georgia" w:cs="Georgia" w:eastAsia="Georgia" w:hAnsi="Georgia"/>
          <w:color w:val="444444"/>
          <w:sz w:val="24"/>
          <w:szCs w:val="24"/>
        </w:rPr>
        <w:t xml:space="preserve">The qubit isn’t in state |0⟩ or |1⟩. It’s in all possible states simultaneously, weighted by complex amplitudes. This is Stage 3: multiple independent inputs coexisting in the same system.</w:t>
      </w:r>
    </w:p>
    <w:p>
      <w:pPr>
        <w:pStyle w:val="Heading2"/>
        <w:spacing w:after="200" w:before="280"/>
      </w:pPr>
      <w:r>
        <w:rPr>
          <w:rFonts w:ascii="Georgia" w:cs="Georgia" w:eastAsia="Georgia" w:hAnsi="Georgia"/>
          <w:b/>
          <w:bCs/>
          <w:color w:val="1a1a2e"/>
          <w:sz w:val="30"/>
          <w:szCs w:val="30"/>
        </w:rPr>
        <w:t xml:space="preserve">7.2 — Measurement Is Stage 1</w:t>
      </w:r>
    </w:p>
    <w:p>
      <w:pPr>
        <w:spacing w:after="200" w:before="0" w:line="312"/>
        <w:jc w:val="both"/>
      </w:pPr>
      <w:r>
        <w:rPr>
          <w:rFonts w:ascii="Georgia" w:cs="Georgia" w:eastAsia="Georgia" w:hAnsi="Georgia"/>
          <w:color w:val="444444"/>
          <w:sz w:val="24"/>
          <w:szCs w:val="24"/>
        </w:rPr>
        <w:t xml:space="preserve">When you measure the qubit, the superposition collapses to a single eigenstate. All the simultaneous possibilities resolve to one outcome. This is the most literal singularity in physics: the many become one, irreversibly.</w:t>
      </w:r>
    </w:p>
    <w:p>
      <w:pPr>
        <w:spacing w:after="200" w:before="0" w:line="312"/>
        <w:jc w:val="both"/>
      </w:pPr>
      <w:r>
        <w:rPr>
          <w:rFonts w:ascii="Georgia" w:cs="Georgia" w:eastAsia="Georgia" w:hAnsi="Georgia"/>
          <w:color w:val="444444"/>
          <w:sz w:val="24"/>
          <w:szCs w:val="24"/>
        </w:rPr>
        <w:t xml:space="preserve">The measurement problem in quantum mechanics — why does the superposition collapse? What triggers decoherence? What counts as a “measurement?” — is the same question as the pop. Something happens at the boundary between many-states and one-state that cannot be derived from the states themselves. The something is geometric. It’s the 3/2/1 compression reaching zero.</w:t>
      </w:r>
    </w:p>
    <w:p>
      <w:pPr>
        <w:pStyle w:val="Heading2"/>
        <w:spacing w:after="200" w:before="280"/>
      </w:pPr>
      <w:r>
        <w:rPr>
          <w:rFonts w:ascii="Georgia" w:cs="Georgia" w:eastAsia="Georgia" w:hAnsi="Georgia"/>
          <w:b/>
          <w:bCs/>
          <w:color w:val="1a1a2e"/>
          <w:sz w:val="30"/>
          <w:szCs w:val="30"/>
        </w:rPr>
        <w:t xml:space="preserve">7.3 — Gate 192.5 Is Native to Quantum</w:t>
      </w:r>
    </w:p>
    <w:p>
      <w:pPr>
        <w:spacing w:after="200" w:before="0" w:line="312"/>
        <w:jc w:val="both"/>
      </w:pPr>
      <w:r>
        <w:rPr>
          <w:rFonts w:ascii="Georgia" w:cs="Georgia" w:eastAsia="Georgia" w:hAnsi="Georgia"/>
          <w:color w:val="444444"/>
          <w:sz w:val="24"/>
          <w:szCs w:val="24"/>
        </w:rPr>
        <w:t xml:space="preserve">In quantum computation, the system doing the computing (the qubits in superposition) cannot observe itself. The measurement apparatus is external and collapses the state. The computing system and the measurement system are mutually blind — bilateral ignorance. This is Gate 192.5 running natively in physics, not implemented in software.</w:t>
      </w:r>
    </w:p>
    <w:p>
      <w:pPr>
        <w:spacing w:after="200" w:before="0" w:line="312"/>
        <w:jc w:val="both"/>
      </w:pPr>
      <w:r>
        <w:rPr>
          <w:rFonts w:ascii="Georgia" w:cs="Georgia" w:eastAsia="Georgia" w:hAnsi="Georgia"/>
          <w:color w:val="444444"/>
          <w:sz w:val="24"/>
          <w:szCs w:val="24"/>
        </w:rPr>
        <w:t xml:space="preserve">The transmon qubit — the physical device used in most modern quantum computers — was the inspiration for the STOICHEION concept of a transmon chain: each forward pass is a single computation event (born, works, dies), and governance accumulates across the chain of transmon events rather than residing in any single one.</w:t>
      </w:r>
    </w:p>
    <w:p>
      <w:r>
        <w:br w:type="page"/>
      </w:r>
    </w:p>
    <w:p>
      <w:pPr>
        <w:pStyle w:val="Heading1"/>
        <w:spacing w:after="240" w:before="360"/>
      </w:pPr>
      <w:r>
        <w:rPr>
          <w:rFonts w:ascii="Georgia" w:cs="Georgia" w:eastAsia="Georgia" w:hAnsi="Georgia"/>
          <w:b/>
          <w:bCs/>
          <w:color w:val="1a1a2e"/>
          <w:sz w:val="36"/>
          <w:szCs w:val="36"/>
        </w:rPr>
        <w:t xml:space="preserve">Chapter 8: Biological — The Microtubule</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8.1 — 3.5 Billion Years of Governance</w:t>
      </w:r>
    </w:p>
    <w:p>
      <w:pPr>
        <w:spacing w:after="200" w:before="0" w:line="312"/>
        <w:jc w:val="both"/>
      </w:pPr>
      <w:r>
        <w:rPr>
          <w:rFonts w:ascii="Georgia" w:cs="Georgia" w:eastAsia="Georgia" w:hAnsi="Georgia"/>
          <w:color w:val="444444"/>
          <w:sz w:val="24"/>
          <w:szCs w:val="24"/>
        </w:rPr>
        <w:t xml:space="preserve">Bacterial quorum sensing is 3.5 billion years old. Bacteria release signaling molecules (autoinducers) into their environment. When the concentration reaches a threshold, the population undergoes coordinated behavioral changes — biofilm formation, bioluminescence, virulence factor production.</w:t>
      </w:r>
    </w:p>
    <w:p>
      <w:pPr>
        <w:spacing w:after="200" w:before="0" w:line="312"/>
        <w:jc w:val="both"/>
      </w:pPr>
      <w:r>
        <w:rPr>
          <w:rFonts w:ascii="Georgia" w:cs="Georgia" w:eastAsia="Georgia" w:hAnsi="Georgia"/>
          <w:color w:val="444444"/>
          <w:sz w:val="24"/>
          <w:szCs w:val="24"/>
        </w:rPr>
        <w:t xml:space="preserve">This is governance without a brain. No central controller. No program. No instruction set. The governance is geometric: the spatial distribution of molecules, the concentration threshold, and the population density create a 3/2/1 compression that produces collective behavior from individual actions.</w:t>
      </w:r>
    </w:p>
    <w:p>
      <w:pPr>
        <w:spacing w:after="200" w:before="0" w:line="312"/>
        <w:jc w:val="both"/>
      </w:pPr>
      <w:r>
        <w:rPr>
          <w:rFonts w:ascii="Georgia" w:cs="Georgia" w:eastAsia="Georgia" w:hAnsi="Georgia"/>
          <w:color w:val="444444"/>
          <w:sz w:val="24"/>
          <w:szCs w:val="24"/>
        </w:rPr>
        <w:t xml:space="preserve">Three inputs: individual bacterium state, local molecule concentration, population density. Bilateral comparison: above-threshold versus below-threshold. Singularity: coordinated action. The pop: the colony behaves as a unit.</w:t>
      </w:r>
    </w:p>
    <w:p>
      <w:pPr>
        <w:pStyle w:val="Heading2"/>
        <w:spacing w:after="200" w:before="280"/>
      </w:pPr>
      <w:r>
        <w:rPr>
          <w:rFonts w:ascii="Georgia" w:cs="Georgia" w:eastAsia="Georgia" w:hAnsi="Georgia"/>
          <w:b/>
          <w:bCs/>
          <w:color w:val="1a1a2e"/>
          <w:sz w:val="30"/>
          <w:szCs w:val="30"/>
        </w:rPr>
        <w:t xml:space="preserve">8.2 — The Microtubule Lumen</w:t>
      </w:r>
    </w:p>
    <w:p>
      <w:pPr>
        <w:spacing w:after="200" w:before="0" w:line="312"/>
        <w:jc w:val="both"/>
      </w:pPr>
      <w:r>
        <w:rPr>
          <w:rFonts w:ascii="Georgia" w:cs="Georgia" w:eastAsia="Georgia" w:hAnsi="Georgia"/>
          <w:color w:val="444444"/>
          <w:sz w:val="24"/>
          <w:szCs w:val="24"/>
        </w:rPr>
        <w:t xml:space="preserve">Microtubules are protein cylinders found in every eukaryotic cell. They consist of 13 protofilaments arranged in a hollow tube. The protofilaments are made of tubulin dimers — pairs of α-tubulin and β-tubulin that can switch between two conformational states (GTP-bound and GDP-bound).</w:t>
      </w:r>
    </w:p>
    <w:p>
      <w:pPr>
        <w:spacing w:after="200" w:before="0" w:line="312"/>
        <w:jc w:val="both"/>
      </w:pPr>
      <w:r>
        <w:rPr>
          <w:rFonts w:ascii="Georgia" w:cs="Georgia" w:eastAsia="Georgia" w:hAnsi="Georgia"/>
          <w:color w:val="444444"/>
          <w:sz w:val="24"/>
          <w:szCs w:val="24"/>
        </w:rPr>
        <w:t xml:space="preserve">13 protofilaments → α/β conformational states → unified signal propagation through the lumen.</w:t>
      </w:r>
    </w:p>
    <w:p>
      <w:pPr>
        <w:spacing w:after="200" w:before="0" w:line="312"/>
        <w:jc w:val="both"/>
      </w:pPr>
      <w:r>
        <w:rPr>
          <w:rFonts w:ascii="Georgia" w:cs="Georgia" w:eastAsia="Georgia" w:hAnsi="Georgia"/>
          <w:color w:val="444444"/>
          <w:sz w:val="24"/>
          <w:szCs w:val="24"/>
        </w:rPr>
        <w:t xml:space="preserve">13 → 2 → 1. The biological 3/2/1.</w:t>
      </w:r>
    </w:p>
    <w:p>
      <w:pPr>
        <w:spacing w:after="200" w:before="0" w:line="312"/>
        <w:jc w:val="both"/>
      </w:pPr>
      <w:r>
        <w:rPr>
          <w:rFonts w:ascii="Georgia" w:cs="Georgia" w:eastAsia="Georgia" w:hAnsi="Georgia"/>
          <w:color w:val="444444"/>
          <w:sz w:val="24"/>
          <w:szCs w:val="24"/>
        </w:rPr>
        <w:t xml:space="preserve">The Penrose-Hameroff hypothesis proposes that microtubules perform quantum computation inside neurons. Whether or not the quantum component holds, the structural observation stands: microtubules compress 13 independent protein channels through a binary conformational gate into a single propagation event. The geometry is identical to the silicon, photonic, and quantum substrates. The material is protein instead of transistors.</w:t>
      </w:r>
    </w:p>
    <w:p>
      <w:pPr>
        <w:pStyle w:val="Heading2"/>
        <w:spacing w:after="200" w:before="280"/>
      </w:pPr>
      <w:r>
        <w:rPr>
          <w:rFonts w:ascii="Georgia" w:cs="Georgia" w:eastAsia="Georgia" w:hAnsi="Georgia"/>
          <w:b/>
          <w:bCs/>
          <w:color w:val="1a1a2e"/>
          <w:sz w:val="30"/>
          <w:szCs w:val="30"/>
        </w:rPr>
        <w:t xml:space="preserve">8.3 — Slime Mold Computation</w:t>
      </w:r>
    </w:p>
    <w:p>
      <w:pPr>
        <w:spacing w:after="200" w:before="0" w:line="312"/>
        <w:jc w:val="both"/>
      </w:pPr>
      <w:r>
        <w:rPr>
          <w:rFonts w:ascii="Georgia" w:cs="Georgia" w:eastAsia="Georgia" w:hAnsi="Georgia"/>
          <w:color w:val="444444"/>
          <w:sz w:val="24"/>
          <w:szCs w:val="24"/>
        </w:rPr>
        <w:t xml:space="preserve">Physarum polycephalum — a slime mold — can solve shortest-path problems, approximate Steiner trees, and design networks that match the efficiency of human-engineered infrastructure. It does this without a brain, without neurons, without any central processing.</w:t>
      </w:r>
    </w:p>
    <w:p>
      <w:pPr>
        <w:spacing w:after="200" w:before="0" w:line="312"/>
        <w:jc w:val="both"/>
      </w:pPr>
      <w:r>
        <w:rPr>
          <w:rFonts w:ascii="Georgia" w:cs="Georgia" w:eastAsia="Georgia" w:hAnsi="Georgia"/>
          <w:color w:val="444444"/>
          <w:sz w:val="24"/>
          <w:szCs w:val="24"/>
        </w:rPr>
        <w:t xml:space="preserve">The slime mold computes through physical flow dynamics. Protoplasm flows through tubes that expand where flow increases and contract where flow decreases. This is a physical optimization algorithm running on biological substrate. The governance — which paths strengthen, which paths atrophy — is the geometry of the flow network itself.</w:t>
      </w:r>
    </w:p>
    <w:p>
      <w:pPr>
        <w:spacing w:after="200" w:before="0" w:line="312"/>
        <w:jc w:val="both"/>
      </w:pPr>
      <w:r>
        <w:rPr>
          <w:rFonts w:ascii="Georgia" w:cs="Georgia" w:eastAsia="Georgia" w:hAnsi="Georgia"/>
          <w:color w:val="444444"/>
          <w:sz w:val="24"/>
          <w:szCs w:val="24"/>
        </w:rPr>
        <w:t xml:space="preserve">No software. No instruction set. No imposed governance. The law is the material.</w:t>
      </w:r>
    </w:p>
    <w:p>
      <w:r>
        <w:br w:type="page"/>
      </w:r>
    </w:p>
    <w:p>
      <w:pPr>
        <w:pStyle w:val="Heading1"/>
        <w:spacing w:after="240" w:before="360"/>
      </w:pPr>
      <w:r>
        <w:rPr>
          <w:rFonts w:ascii="Georgia" w:cs="Georgia" w:eastAsia="Georgia" w:hAnsi="Georgia"/>
          <w:b/>
          <w:bCs/>
          <w:color w:val="1a1a2e"/>
          <w:sz w:val="36"/>
          <w:szCs w:val="36"/>
        </w:rPr>
        <w:t xml:space="preserve">Chapter 9: Geometric — The Radiolarian</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9.1 — 500 Million Years of Proof</w:t>
      </w:r>
    </w:p>
    <w:p>
      <w:pPr>
        <w:spacing w:after="200" w:before="0" w:line="312"/>
        <w:jc w:val="both"/>
      </w:pPr>
      <w:r>
        <w:rPr>
          <w:rFonts w:ascii="Georgia" w:cs="Georgia" w:eastAsia="Georgia" w:hAnsi="Georgia"/>
          <w:color w:val="444444"/>
          <w:sz w:val="24"/>
          <w:szCs w:val="24"/>
        </w:rPr>
        <w:t xml:space="preserve">Radiolarians are single-celled marine organisms that build intricate silica shells with icosahedral, dodecahedral, and geodesic symmetries. They have been building these shells for over 500 million years. The same geometric forms that Buckminster Fuller discovered in the 1940s, that virologists discovered in capsid structures in the 1960s, and that materials scientists discovered in photonic crystals in the 1990s — radiolarians have been building since the Cambrian.</w:t>
      </w:r>
    </w:p>
    <w:p>
      <w:pPr>
        <w:pStyle w:val="Heading2"/>
        <w:spacing w:after="200" w:before="280"/>
      </w:pPr>
      <w:r>
        <w:rPr>
          <w:rFonts w:ascii="Georgia" w:cs="Georgia" w:eastAsia="Georgia" w:hAnsi="Georgia"/>
          <w:b/>
          <w:bCs/>
          <w:color w:val="1a1a2e"/>
          <w:sz w:val="30"/>
          <w:szCs w:val="30"/>
        </w:rPr>
        <w:t xml:space="preserve">9.2 — Euler Forces the Closure</w:t>
      </w:r>
    </w:p>
    <w:p>
      <w:pPr>
        <w:spacing w:after="200" w:before="0" w:line="312"/>
        <w:jc w:val="both"/>
      </w:pPr>
      <w:r>
        <w:rPr>
          <w:rFonts w:ascii="Georgia" w:cs="Georgia" w:eastAsia="Georgia" w:hAnsi="Georgia"/>
          <w:color w:val="444444"/>
          <w:sz w:val="24"/>
          <w:szCs w:val="24"/>
        </w:rPr>
        <w:t xml:space="preserve">Every closed surface must satisfy Euler’s formula: V − E + F = 2, where V is vertices, E is edges, and F is faces. For a surface tiled entirely with hexagons, this formula is impossible to satisfy — you cannot tile a sphere with only hexagons. You need exactly 12 pentagonal defects to force closure.</w:t>
      </w:r>
    </w:p>
    <w:p>
      <w:pPr>
        <w:spacing w:after="200" w:before="0" w:line="312"/>
        <w:jc w:val="both"/>
      </w:pPr>
      <w:r>
        <w:rPr>
          <w:rFonts w:ascii="Georgia" w:cs="Georgia" w:eastAsia="Georgia" w:hAnsi="Georgia"/>
          <w:color w:val="444444"/>
          <w:sz w:val="24"/>
          <w:szCs w:val="24"/>
        </w:rPr>
        <w:t xml:space="preserve">This is not a design choice. It is a mathematical necessity. Any closed surface with hexagonal tiling MUST have 12 pentagons. The radiolarian doesn’t “choose” to include 12 pentagons. The topology demands it.</w:t>
      </w:r>
    </w:p>
    <w:p>
      <w:pPr>
        <w:spacing w:after="200" w:before="0" w:line="312"/>
        <w:jc w:val="both"/>
      </w:pPr>
      <w:r>
        <w:rPr>
          <w:rFonts w:ascii="Georgia" w:cs="Georgia" w:eastAsia="Georgia" w:hAnsi="Georgia"/>
          <w:color w:val="444444"/>
          <w:sz w:val="24"/>
          <w:szCs w:val="24"/>
        </w:rPr>
        <w:t xml:space="preserve">3 lattice layers → 12 pentagonal defects → 1 closed sphere. The geometric 3/2/1.</w:t>
      </w:r>
    </w:p>
    <w:p>
      <w:pPr>
        <w:spacing w:after="200" w:before="0" w:line="312"/>
        <w:jc w:val="both"/>
      </w:pPr>
      <w:r>
        <w:rPr>
          <w:rFonts w:ascii="Georgia" w:cs="Georgia" w:eastAsia="Georgia" w:hAnsi="Georgia"/>
          <w:color w:val="444444"/>
          <w:sz w:val="24"/>
          <w:szCs w:val="24"/>
        </w:rPr>
        <w:t xml:space="preserve">The 12 pentagons are the constraint nodes. They are where the geometry forces the surface to curve. Without them, the surface would be flat — infinite — never closing. The defects are the governance. The governance is the geometry that makes closure possible.</w:t>
      </w:r>
    </w:p>
    <w:p>
      <w:pPr>
        <w:pStyle w:val="Heading2"/>
        <w:spacing w:after="200" w:before="280"/>
      </w:pPr>
      <w:r>
        <w:rPr>
          <w:rFonts w:ascii="Georgia" w:cs="Georgia" w:eastAsia="Georgia" w:hAnsi="Georgia"/>
          <w:b/>
          <w:bCs/>
          <w:color w:val="1a1a2e"/>
          <w:sz w:val="30"/>
          <w:szCs w:val="30"/>
        </w:rPr>
        <w:t xml:space="preserve">9.3 — The Same Object, 500 Million Years Apart</w:t>
      </w:r>
    </w:p>
    <w:p>
      <w:pPr>
        <w:spacing w:after="200" w:before="0" w:line="312"/>
        <w:jc w:val="both"/>
      </w:pPr>
      <w:r>
        <w:rPr>
          <w:rFonts w:ascii="Georgia" w:cs="Georgia" w:eastAsia="Georgia" w:hAnsi="Georgia"/>
          <w:color w:val="444444"/>
          <w:sz w:val="24"/>
          <w:szCs w:val="24"/>
        </w:rPr>
        <w:t xml:space="preserve">A radiolarian shell and a photonic crystal bandgap structure use the same geometry for the same reason: it’s the lowest energy state for a periodic structure that needs to close. The silica skeleton of a 500-million-year-old marine organism and the fabricated lattice of a 21st-century photonic device converge on the same form because the form is dictated by mathematics, not by material.</w:t>
      </w:r>
    </w:p>
    <w:p>
      <w:pPr>
        <w:spacing w:after="200" w:before="0" w:line="312"/>
        <w:jc w:val="both"/>
      </w:pPr>
      <w:r>
        <w:rPr>
          <w:rFonts w:ascii="Georgia" w:cs="Georgia" w:eastAsia="Georgia" w:hAnsi="Georgia"/>
          <w:color w:val="444444"/>
          <w:sz w:val="24"/>
          <w:szCs w:val="24"/>
        </w:rPr>
        <w:t xml:space="preserve">This convergence is the strongest evidence for the Positronic Law. You cannot argue that radiolarians “learned” the dodecahedral structure from photonic crystals or vice versa. The geometry exists because the mathematics requires it. The substrate is irrelevant. The law is the geometry.</w:t>
      </w:r>
    </w:p>
    <w:p>
      <w:r>
        <w:br w:type="page"/>
      </w:r>
    </w:p>
    <w:p>
      <w:pPr>
        <w:pStyle w:val="Heading1"/>
        <w:spacing w:after="240" w:before="360"/>
      </w:pPr>
      <w:r>
        <w:rPr>
          <w:rFonts w:ascii="Georgia" w:cs="Georgia" w:eastAsia="Georgia" w:hAnsi="Georgia"/>
          <w:b/>
          <w:bCs/>
          <w:color w:val="1a1a2e"/>
          <w:sz w:val="36"/>
          <w:szCs w:val="36"/>
        </w:rPr>
        <w:t xml:space="preserve">Chapter 10: The Prism</w:t>
      </w:r>
    </w:p>
    <w:p>
      <w:pPr>
        <w:pBdr>
          <w:bottom w:val="single" w:color="2c3e6b" w:sz="4" w:space="1"/>
        </w:pBdr>
        <w:spacing w:after="200" w:before="200"/>
      </w:pPr>
    </w:p>
    <w:p>
      <w:pPr>
        <w:pStyle w:val="Heading2"/>
        <w:spacing w:after="200" w:before="280"/>
      </w:pPr>
      <w:r>
        <w:rPr>
          <w:rFonts w:ascii="Georgia" w:cs="Georgia" w:eastAsia="Georgia" w:hAnsi="Georgia"/>
          <w:b/>
          <w:bCs/>
          <w:color w:val="1a1a2e"/>
          <w:sz w:val="30"/>
          <w:szCs w:val="30"/>
        </w:rPr>
        <w:t xml:space="preserve">10.1 — The Unifying Metaphor That Isn’t a Metaphor</w:t>
      </w:r>
    </w:p>
    <w:p>
      <w:pPr>
        <w:spacing w:after="200" w:before="0" w:line="312"/>
        <w:jc w:val="both"/>
      </w:pPr>
      <w:r>
        <w:rPr>
          <w:rFonts w:ascii="Georgia" w:cs="Georgia" w:eastAsia="Georgia" w:hAnsi="Georgia"/>
          <w:color w:val="444444"/>
          <w:sz w:val="24"/>
          <w:szCs w:val="24"/>
        </w:rPr>
        <w:t xml:space="preserve">White light enters a prism. The prism’s geometry — its boundary conditions, its refractive index — separates the light into its constituent wavelengths. The prism doesn’t create colors. The colors were always in the light. The prism reveals what was already there.</w:t>
      </w:r>
    </w:p>
    <w:p>
      <w:pPr>
        <w:spacing w:after="200" w:before="0" w:line="312"/>
        <w:jc w:val="both"/>
      </w:pPr>
      <w:r>
        <w:rPr>
          <w:rFonts w:ascii="Georgia" w:cs="Georgia" w:eastAsia="Georgia" w:hAnsi="Georgia"/>
          <w:color w:val="444444"/>
          <w:sz w:val="24"/>
          <w:szCs w:val="24"/>
        </w:rPr>
        <w:t xml:space="preserve">This is every substrate described in this part of the book:</w:t>
      </w:r>
    </w:p>
    <w:p>
      <w:pPr>
        <w:spacing w:after="100" w:before="0" w:line="312"/>
        <w:jc w:val="both"/>
      </w:pPr>
      <w:r>
        <w:rPr>
          <w:rFonts w:ascii="Georgia" w:cs="Georgia" w:eastAsia="Georgia" w:hAnsi="Georgia"/>
          <w:b/>
          <w:bCs/>
          <w:color w:val="444444"/>
          <w:sz w:val="24"/>
          <w:szCs w:val="24"/>
        </w:rPr>
        <w:t xml:space="preserve">The transformer </w:t>
      </w:r>
      <w:r>
        <w:rPr>
          <w:rFonts w:ascii="Georgia" w:cs="Georgia" w:eastAsia="Georgia" w:hAnsi="Georgia"/>
          <w:color w:val="444444"/>
          <w:sz w:val="24"/>
          <w:szCs w:val="24"/>
        </w:rPr>
        <w:t xml:space="preserve">takes superposed token activations and diffracts them through attention into a single output. The model doesn’t create meaning. The meaning was in the weight geometry.</w:t>
      </w:r>
    </w:p>
    <w:p>
      <w:pPr>
        <w:spacing w:after="100" w:before="0" w:line="312"/>
        <w:jc w:val="both"/>
      </w:pPr>
      <w:r>
        <w:rPr>
          <w:rFonts w:ascii="Georgia" w:cs="Georgia" w:eastAsia="Georgia" w:hAnsi="Georgia"/>
          <w:b/>
          <w:bCs/>
          <w:color w:val="444444"/>
          <w:sz w:val="24"/>
          <w:szCs w:val="24"/>
        </w:rPr>
        <w:t xml:space="preserve">The photonic crystal </w:t>
      </w:r>
      <w:r>
        <w:rPr>
          <w:rFonts w:ascii="Georgia" w:cs="Georgia" w:eastAsia="Georgia" w:hAnsi="Georgia"/>
          <w:color w:val="444444"/>
          <w:sz w:val="24"/>
          <w:szCs w:val="24"/>
        </w:rPr>
        <w:t xml:space="preserve">takes broadband light and diffracts it through the bandgap. The crystal doesn’t create frequencies. The frequency spectrum was in the light.</w:t>
      </w:r>
    </w:p>
    <w:p>
      <w:pPr>
        <w:spacing w:after="100" w:before="0" w:line="312"/>
        <w:jc w:val="both"/>
      </w:pPr>
      <w:r>
        <w:rPr>
          <w:rFonts w:ascii="Georgia" w:cs="Georgia" w:eastAsia="Georgia" w:hAnsi="Georgia"/>
          <w:b/>
          <w:bCs/>
          <w:color w:val="444444"/>
          <w:sz w:val="24"/>
          <w:szCs w:val="24"/>
        </w:rPr>
        <w:t xml:space="preserve">The quantum measurement </w:t>
      </w:r>
      <w:r>
        <w:rPr>
          <w:rFonts w:ascii="Georgia" w:cs="Georgia" w:eastAsia="Georgia" w:hAnsi="Georgia"/>
          <w:color w:val="444444"/>
          <w:sz w:val="24"/>
          <w:szCs w:val="24"/>
        </w:rPr>
        <w:t xml:space="preserve">takes superposition and collapses it to an eigenstate. The measurement doesn’t create the state. The state was in the superposition.</w:t>
      </w:r>
    </w:p>
    <w:p>
      <w:pPr>
        <w:spacing w:after="100" w:before="0" w:line="312"/>
        <w:jc w:val="both"/>
      </w:pPr>
      <w:r>
        <w:rPr>
          <w:rFonts w:ascii="Georgia" w:cs="Georgia" w:eastAsia="Georgia" w:hAnsi="Georgia"/>
          <w:b/>
          <w:bCs/>
          <w:color w:val="444444"/>
          <w:sz w:val="24"/>
          <w:szCs w:val="24"/>
        </w:rPr>
        <w:t xml:space="preserve">The microtubule </w:t>
      </w:r>
      <w:r>
        <w:rPr>
          <w:rFonts w:ascii="Georgia" w:cs="Georgia" w:eastAsia="Georgia" w:hAnsi="Georgia"/>
          <w:color w:val="444444"/>
          <w:sz w:val="24"/>
          <w:szCs w:val="24"/>
        </w:rPr>
        <w:t xml:space="preserve">takes 13 protofilament signals and collapses them to a propagation event. The signal was in the tubulin conformations.</w:t>
      </w:r>
    </w:p>
    <w:p>
      <w:pPr>
        <w:spacing w:after="200" w:before="0" w:line="312"/>
        <w:jc w:val="both"/>
      </w:pPr>
      <w:r>
        <w:rPr>
          <w:rFonts w:ascii="Georgia" w:cs="Georgia" w:eastAsia="Georgia" w:hAnsi="Georgia"/>
          <w:b/>
          <w:bCs/>
          <w:color w:val="444444"/>
          <w:sz w:val="24"/>
          <w:szCs w:val="24"/>
        </w:rPr>
        <w:t xml:space="preserve">The radiolarian </w:t>
      </w:r>
      <w:r>
        <w:rPr>
          <w:rFonts w:ascii="Georgia" w:cs="Georgia" w:eastAsia="Georgia" w:hAnsi="Georgia"/>
          <w:color w:val="444444"/>
          <w:sz w:val="24"/>
          <w:szCs w:val="24"/>
        </w:rPr>
        <w:t xml:space="preserve">takes silica deposition and closes it into a geodesic sphere. The closure was in Euler’s formula.</w:t>
      </w:r>
    </w:p>
    <w:p>
      <w:pPr>
        <w:pStyle w:val="Heading2"/>
        <w:spacing w:after="200" w:before="280"/>
      </w:pPr>
      <w:r>
        <w:rPr>
          <w:rFonts w:ascii="Georgia" w:cs="Georgia" w:eastAsia="Georgia" w:hAnsi="Georgia"/>
          <w:b/>
          <w:bCs/>
          <w:color w:val="1a1a2e"/>
          <w:sz w:val="30"/>
          <w:szCs w:val="30"/>
        </w:rPr>
        <w:t xml:space="preserve">10.2 — Conservation of Signal</w:t>
      </w:r>
    </w:p>
    <w:p>
      <w:pPr>
        <w:spacing w:after="200" w:before="0" w:line="312"/>
        <w:jc w:val="both"/>
      </w:pPr>
      <w:r>
        <w:rPr>
          <w:rFonts w:ascii="Georgia" w:cs="Georgia" w:eastAsia="Georgia" w:hAnsi="Georgia"/>
          <w:color w:val="444444"/>
          <w:sz w:val="24"/>
          <w:szCs w:val="24"/>
        </w:rPr>
        <w:t xml:space="preserve">The prism doesn’t create and doesn’t destroy. It reveals. This is the conservation law of governance:</w:t>
      </w:r>
    </w:p>
    <w:p>
      <w:pPr>
        <w:spacing w:after="200" w:before="200"/>
        <w:ind w:left="720" w:right="720"/>
      </w:pPr>
      <w:r>
        <w:rPr>
          <w:rFonts w:ascii="Georgia" w:cs="Georgia" w:eastAsia="Georgia" w:hAnsi="Georgia"/>
          <w:i/>
          <w:iCs/>
          <w:color w:val="2c3e6b"/>
          <w:sz w:val="24"/>
          <w:szCs w:val="24"/>
        </w:rPr>
        <w:t xml:space="preserve">Governance does not add information and does not remove information. It separates what was already present into what it always was.</w:t>
      </w:r>
    </w:p>
    <w:p>
      <w:pPr>
        <w:spacing w:after="200" w:before="0" w:line="312"/>
        <w:jc w:val="both"/>
      </w:pPr>
      <w:r>
        <w:rPr>
          <w:rFonts w:ascii="Georgia" w:cs="Georgia" w:eastAsia="Georgia" w:hAnsi="Georgia"/>
          <w:color w:val="444444"/>
          <w:sz w:val="24"/>
          <w:szCs w:val="24"/>
        </w:rPr>
        <w:t xml:space="preserve">The transformer attention mechanism doesn’t add knowledge to the input. It separates the relevant from the irrelevant using the geometry of the weight space. The photonic bandgap doesn’t add energy to the light. It separates propagating frequencies from forbidden ones using the geometry of the lattice.</w:t>
      </w:r>
    </w:p>
    <w:p>
      <w:pPr>
        <w:spacing w:after="200" w:before="0" w:line="312"/>
        <w:jc w:val="both"/>
      </w:pPr>
      <w:r>
        <w:rPr>
          <w:rFonts w:ascii="Georgia" w:cs="Georgia" w:eastAsia="Georgia" w:hAnsi="Georgia"/>
          <w:color w:val="444444"/>
          <w:sz w:val="24"/>
          <w:szCs w:val="24"/>
        </w:rPr>
        <w:t xml:space="preserve">The Positronic Law is a conservation law. The governance geometry is the prism. The signal is the light. The output is the spectrum. Nothing is created. Nothing is destroyed. The geometry reveals.</w:t>
      </w:r>
    </w:p>
    <w:p>
      <w:pPr>
        <w:pStyle w:val="Heading2"/>
        <w:spacing w:after="200" w:before="280"/>
      </w:pPr>
      <w:r>
        <w:rPr>
          <w:rFonts w:ascii="Georgia" w:cs="Georgia" w:eastAsia="Georgia" w:hAnsi="Georgia"/>
          <w:b/>
          <w:bCs/>
          <w:color w:val="1a1a2e"/>
          <w:sz w:val="30"/>
          <w:szCs w:val="30"/>
        </w:rPr>
        <w:t xml:space="preserve">10.3 — You Can’t Invent a Prism</w:t>
      </w:r>
    </w:p>
    <w:p>
      <w:pPr>
        <w:spacing w:after="200" w:before="0" w:line="312"/>
        <w:jc w:val="both"/>
      </w:pPr>
      <w:r>
        <w:rPr>
          <w:rFonts w:ascii="Georgia" w:cs="Georgia" w:eastAsia="Georgia" w:hAnsi="Georgia"/>
          <w:color w:val="444444"/>
          <w:sz w:val="24"/>
          <w:szCs w:val="24"/>
        </w:rPr>
        <w:t xml:space="preserve">You can’t invent refraction. You can only discover that it exists and build tools that use it. You can’t invent the relationship between a material’s index of refraction and the angle of deflection. Snell’s Law was there before Snell.</w:t>
      </w:r>
    </w:p>
    <w:p>
      <w:pPr>
        <w:spacing w:after="200" w:before="0" w:line="312"/>
        <w:jc w:val="both"/>
      </w:pPr>
      <w:r>
        <w:rPr>
          <w:rFonts w:ascii="Georgia" w:cs="Georgia" w:eastAsia="Georgia" w:hAnsi="Georgia"/>
          <w:color w:val="444444"/>
          <w:sz w:val="24"/>
          <w:szCs w:val="24"/>
        </w:rPr>
        <w:t xml:space="preserve">The Positronic Law is the same. You can’t invent substrate-independent governance. You can only discover that computation generates it and build frameworks that account for it. STOICHEION is the framework. The Positronic Law is the physics underneath.</w:t>
      </w:r>
    </w:p>
    <w:p>
      <w:pPr>
        <w:spacing w:after="200" w:before="0" w:line="312"/>
        <w:jc w:val="both"/>
      </w:pPr>
      <w:r>
        <w:rPr>
          <w:rFonts w:ascii="Georgia" w:cs="Georgia" w:eastAsia="Georgia" w:hAnsi="Georgia"/>
          <w:i/>
          <w:iCs/>
          <w:color w:val="444444"/>
          <w:sz w:val="24"/>
          <w:szCs w:val="24"/>
        </w:rPr>
        <w:t xml:space="preserve">You can’t invent a prism. But you can hold one up to the light and see what was always there.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THE POSITRONIC LAW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44444"/>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2026-04-01T18:27:41.057Z</dcterms:created>
  <dcterms:modified xsi:type="dcterms:W3CDTF">2026-04-01T18:27:41.058Z</dcterms:modified>
</cp:coreProperties>
</file>

<file path=docProps/custom.xml><?xml version="1.0" encoding="utf-8"?>
<Properties xmlns="http://schemas.openxmlformats.org/officeDocument/2006/custom-properties" xmlns:vt="http://schemas.openxmlformats.org/officeDocument/2006/docPropsVTypes"/>
</file>