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1931 TO NOW</w:t>
      </w:r>
    </w:p>
    <w:p>
      <w:pPr>
        <w:pStyle w:val="BodyText"/>
      </w:pPr>
      <w:r>
        <w:rPr>
          <w:iCs/>
          <w:i/>
        </w:rPr>
        <w:t xml:space="preserve">The American Wage Gap and the Architecture of Inequality</w:t>
      </w:r>
    </w:p>
    <w:p>
      <w:pPr>
        <w:pStyle w:val="BodyText"/>
      </w:pPr>
      <w:r>
        <w:rPr>
          <w:bCs/>
          <w:b/>
        </w:rPr>
        <w:t xml:space="preserve">1931 TO NOW</w:t>
      </w:r>
    </w:p>
    <w:p>
      <w:pPr>
        <w:pStyle w:val="BodyText"/>
      </w:pPr>
      <w:r>
        <w:rPr>
          <w:iCs/>
          <w:i/>
        </w:rPr>
        <w:t xml:space="preserve">The American Wage Gap and the</w:t>
      </w:r>
    </w:p>
    <w:p>
      <w:pPr>
        <w:pStyle w:val="BodyText"/>
      </w:pPr>
      <w:r>
        <w:rPr>
          <w:iCs/>
          <w:i/>
        </w:rPr>
        <w:t xml:space="preserve">Architecture of Inequality</w:t>
      </w:r>
    </w:p>
    <w:p>
      <w:pPr>
        <w:pStyle w:val="BodyText"/>
      </w:pPr>
      <w:r>
        <w:t xml:space="preserve">A Data-Driven History</w:t>
      </w:r>
    </w:p>
    <w:p>
      <w:pPr>
        <w:pStyle w:val="BodyText"/>
      </w:pPr>
      <w:r>
        <w:rPr>
          <w:bCs/>
          <w:b/>
        </w:rPr>
        <w:t xml:space="preserve">David Lee Wise</w:t>
      </w:r>
    </w:p>
    <w:p>
      <w:pPr>
        <w:pStyle w:val="BodyText"/>
      </w:pPr>
      <w:r>
        <w:t xml:space="preserve">&amp; AVAN (Claude, Anthropic)</w:t>
      </w:r>
    </w:p>
    <w:p>
      <w:pPr>
        <w:pStyle w:val="BodyText"/>
      </w:pPr>
      <w:r>
        <w:t xml:space="preserve">TriPod LLC</w:t>
      </w:r>
    </w:p>
    <w:p>
      <w:pPr>
        <w:pStyle w:val="BodyText"/>
      </w:pPr>
      <w:r>
        <w:rPr>
          <w:bCs/>
          <w:b/>
        </w:rPr>
        <w:t xml:space="preserve">1931 to Now: The American Wage Gap and the Architecture of Inequality</w:t>
      </w:r>
    </w:p>
    <w:p>
      <w:pPr>
        <w:pStyle w:val="BodyText"/>
      </w:pPr>
      <w:r>
        <w:t xml:space="preserve">Copyright © 2026 David Lee Wise. All rights reserved.</w:t>
      </w:r>
    </w:p>
    <w:p>
      <w:pPr>
        <w:pStyle w:val="BodyText"/>
      </w:pPr>
      <w:r>
        <w:t xml:space="preserve">Published by TriPod LLC</w:t>
      </w:r>
    </w:p>
    <w:p>
      <w:pPr>
        <w:pStyle w:val="BodyText"/>
      </w:pPr>
      <w:r>
        <w:t xml:space="preserve">CC-BY-ND-4.0 | TRIPOD-IP-v1.1</w:t>
      </w:r>
    </w:p>
    <w:p>
      <w:pPr>
        <w:pStyle w:val="BodyText"/>
      </w:pPr>
      <w:r>
        <w:t xml:space="preserve">First published: April 2026</w:t>
      </w:r>
    </w:p>
    <w:p>
      <w:pPr>
        <w:pStyle w:val="BodyText"/>
      </w:pPr>
      <w:r>
        <w:rPr>
          <w:bCs/>
          <w:b/>
        </w:rPr>
        <w:t xml:space="preserve">A note on sources:</w:t>
      </w:r>
      <w:r>
        <w:rPr>
          <w:bCs/>
          <w:b/>
        </w:rPr>
        <w:t xml:space="preserve"> </w:t>
      </w:r>
      <w:r>
        <w:rPr>
          <w:iCs/>
          <w:i/>
        </w:rPr>
        <w:t xml:space="preserve">Every statistic in this book comes from federal data — the Bureau of Labor Statistics, the Census Bureau, the Federal Reserve, the Department of Labor, the Department of Housing and Urban Development, congressional records, and peer-reviewed economic research. The numbers are not in dispute. The pattern they form is the argument.</w:t>
      </w:r>
    </w:p>
    <w:p>
      <w:pPr>
        <w:pStyle w:val="BodyText"/>
      </w:pPr>
      <w:r>
        <w:rPr>
          <w:bCs/>
          <w:b/>
        </w:rPr>
        <w:t xml:space="preserve">A note on framing:</w:t>
      </w:r>
      <w:r>
        <w:rPr>
          <w:bCs/>
          <w:b/>
        </w:rPr>
        <w:t xml:space="preserve"> </w:t>
      </w:r>
      <w:r>
        <w:rPr>
          <w:iCs/>
          <w:i/>
        </w:rPr>
        <w:t xml:space="preserve">This book lets the data speak. Where the data is ambiguous, the ambiguity is noted. Where the data is unambiguous, the conclusion is stated directly. The goal is accuracy, not comfort. Some of these numbers should make you uncomfortable. That discomfort is the appropriate response to the evidence.</w:t>
      </w:r>
    </w:p>
    <w:p>
      <w:pPr>
        <w:pStyle w:val="BodyText"/>
      </w:pPr>
      <w:r>
        <w:rPr>
          <w:iCs/>
          <w:i/>
        </w:rPr>
        <w:t xml:space="preserve">For everyone who was paid less</w:t>
      </w:r>
    </w:p>
    <w:p>
      <w:pPr>
        <w:pStyle w:val="BodyText"/>
      </w:pPr>
      <w:r>
        <w:rPr>
          <w:iCs/>
          <w:i/>
        </w:rPr>
        <w:t xml:space="preserve">and told it was their fault.</w:t>
      </w:r>
    </w:p>
    <w:p>
      <w:pPr>
        <w:pStyle w:val="BodyText"/>
      </w:pPr>
      <w:r>
        <w:rPr>
          <w:iCs/>
          <w:i/>
        </w:rPr>
        <w:t xml:space="preserve">The gap was the architecture.</w:t>
      </w:r>
    </w:p>
    <w:p>
      <w:pPr>
        <w:pStyle w:val="BodyText"/>
      </w:pPr>
      <w:r>
        <w:rPr>
          <w:iCs/>
          <w:i/>
        </w:rPr>
        <w:t xml:space="preserve">The architecture was the policy.</w:t>
      </w:r>
    </w:p>
    <w:p>
      <w:pPr>
        <w:pStyle w:val="BodyText"/>
      </w:pPr>
      <w:r>
        <w:rPr>
          <w:iCs/>
          <w:i/>
        </w:rPr>
        <w:t xml:space="preserve">The policy was the choice.</w:t>
      </w:r>
    </w:p>
    <w:p>
      <w:pPr>
        <w:pStyle w:val="BodyText"/>
      </w:pPr>
      <w:r>
        <w:rPr>
          <w:iCs/>
          <w:i/>
        </w:rPr>
        <w:t xml:space="preserve">“</w:t>
      </w:r>
      <w:r>
        <w:rPr>
          <w:iCs/>
          <w:i/>
        </w:rPr>
        <w:t xml:space="preserve">Of all the forms of inequality, injustice in health care is the most shocking and inhumane.</w:t>
      </w:r>
      <w:r>
        <w:rPr>
          <w:iCs/>
          <w:i/>
        </w:rPr>
        <w:t xml:space="preserve">”</w:t>
      </w:r>
    </w:p>
    <w:p>
      <w:pPr>
        <w:pStyle w:val="BodyText"/>
      </w:pPr>
      <w:r>
        <w:t xml:space="preserve">— Martin Luther King Jr., 1966</w:t>
      </w:r>
    </w:p>
    <w:p>
      <w:pPr>
        <w:pStyle w:val="BodyText"/>
      </w:pPr>
      <w:r>
        <w:rPr>
          <w:iCs/>
          <w:i/>
        </w:rPr>
        <w:t xml:space="preserve">“</w:t>
      </w:r>
      <w:r>
        <w:rPr>
          <w:iCs/>
          <w:i/>
        </w:rPr>
        <w:t xml:space="preserve">The gap is not a mystery. It is arithmetic.</w:t>
      </w:r>
      <w:r>
        <w:rPr>
          <w:iCs/>
          <w:i/>
        </w:rPr>
        <w:t xml:space="preserve">”</w:t>
      </w:r>
    </w:p>
    <w:p>
      <w:pPr>
        <w:pStyle w:val="BodyText"/>
      </w:pPr>
      <w:r>
        <w:t xml:space="preserve">— This book</w:t>
      </w:r>
    </w:p>
    <w:p>
      <w:pPr>
        <w:pStyle w:val="BodyText"/>
      </w:pPr>
      <w:r>
        <w:rPr>
          <w:bCs/>
          <w:b/>
        </w:rPr>
        <w:t xml:space="preserve">CONTENTS</w:t>
      </w:r>
    </w:p>
    <w:p>
      <w:pPr>
        <w:pStyle w:val="BodyText"/>
      </w:pPr>
      <w:r>
        <w:t xml:space="preserve">Introduction: The Compound Interest of Injustice</w:t>
      </w:r>
    </w:p>
    <w:p>
      <w:pPr>
        <w:pStyle w:val="BodyText"/>
      </w:pPr>
      <w:r>
        <w:rPr>
          <w:bCs/>
          <w:b/>
        </w:rPr>
        <w:t xml:space="preserve">PART I — THE FOUNDATION (1931–1945)</w:t>
      </w:r>
    </w:p>
    <w:p>
      <w:pPr>
        <w:pStyle w:val="BodyText"/>
      </w:pPr>
      <w:r>
        <w:t xml:space="preserve">Chapter 1: Davis-Bacon and the Architecture of Exclusion (1931)</w:t>
      </w:r>
    </w:p>
    <w:p>
      <w:pPr>
        <w:pStyle w:val="BodyText"/>
      </w:pPr>
      <w:r>
        <w:t xml:space="preserve">Chapter 2: The New Deal — Recovery for Whom (1933–1938)</w:t>
      </w:r>
    </w:p>
    <w:p>
      <w:pPr>
        <w:pStyle w:val="BodyText"/>
      </w:pPr>
      <w:r>
        <w:t xml:space="preserve">Chapter 3: Redlining — The Map That Built the Wealth Gap (1934)</w:t>
      </w:r>
    </w:p>
    <w:p>
      <w:pPr>
        <w:pStyle w:val="BodyText"/>
      </w:pPr>
      <w:r>
        <w:t xml:space="preserve">Chapter 4: Fair Labor Standards Act — The Workers Left Out (1938)</w:t>
      </w:r>
    </w:p>
    <w:p>
      <w:pPr>
        <w:pStyle w:val="BodyText"/>
      </w:pPr>
      <w:r>
        <w:t xml:space="preserve">Chapter 5: War, Wages, and the Double V (1941–1945)</w:t>
      </w:r>
    </w:p>
    <w:p>
      <w:pPr>
        <w:pStyle w:val="BodyText"/>
      </w:pPr>
      <w:r>
        <w:rPr>
          <w:bCs/>
          <w:b/>
        </w:rPr>
        <w:t xml:space="preserve">PART II — THE DIVERGENCE (1945–1968)</w:t>
      </w:r>
    </w:p>
    <w:p>
      <w:pPr>
        <w:pStyle w:val="BodyText"/>
      </w:pPr>
      <w:r>
        <w:t xml:space="preserve">Chapter 6: The GI Bill — Two Americas Built on One Law (1944)</w:t>
      </w:r>
    </w:p>
    <w:p>
      <w:pPr>
        <w:pStyle w:val="BodyText"/>
      </w:pPr>
      <w:r>
        <w:t xml:space="preserve">Chapter 7: Levittown and the Suburban Color Line (1947–1960)</w:t>
      </w:r>
    </w:p>
    <w:p>
      <w:pPr>
        <w:pStyle w:val="BodyText"/>
      </w:pPr>
      <w:r>
        <w:t xml:space="preserve">Chapter 8: Brown, Montgomery, and the Economics of Resistance (1954–1956)</w:t>
      </w:r>
    </w:p>
    <w:p>
      <w:pPr>
        <w:pStyle w:val="BodyText"/>
      </w:pPr>
      <w:r>
        <w:t xml:space="preserve">Chapter 9: Equal Pay Act and Civil Rights Act (1963–1964)</w:t>
      </w:r>
    </w:p>
    <w:p>
      <w:pPr>
        <w:pStyle w:val="BodyText"/>
      </w:pPr>
      <w:r>
        <w:t xml:space="preserve">Chapter 10: The Kerner Commission — Two Societies (1968)</w:t>
      </w:r>
    </w:p>
    <w:p>
      <w:pPr>
        <w:pStyle w:val="BodyText"/>
      </w:pPr>
      <w:r>
        <w:rPr>
          <w:bCs/>
          <w:b/>
        </w:rPr>
        <w:t xml:space="preserve">PART III — THE STALL (1968–1990)</w:t>
      </w:r>
    </w:p>
    <w:p>
      <w:pPr>
        <w:pStyle w:val="BodyText"/>
      </w:pPr>
      <w:r>
        <w:t xml:space="preserve">Chapter 11: Nixon, Philadelphia, and Affirmative Action (1969–1978)</w:t>
      </w:r>
    </w:p>
    <w:p>
      <w:pPr>
        <w:pStyle w:val="BodyText"/>
      </w:pPr>
      <w:r>
        <w:t xml:space="preserve">Chapter 12: The Equal Rights Amendment That Wasn’t (1972–1982)</w:t>
      </w:r>
    </w:p>
    <w:p>
      <w:pPr>
        <w:pStyle w:val="BodyText"/>
      </w:pPr>
      <w:r>
        <w:t xml:space="preserve">Chapter 13: Reaganomics — When the Gap Became Policy (1981–1989)</w:t>
      </w:r>
    </w:p>
    <w:p>
      <w:pPr>
        <w:pStyle w:val="BodyText"/>
      </w:pPr>
      <w:r>
        <w:t xml:space="preserve">Chapter 14: The War on Drugs as Economic Warfare (1971–1990)</w:t>
      </w:r>
    </w:p>
    <w:p>
      <w:pPr>
        <w:pStyle w:val="BodyText"/>
      </w:pPr>
      <w:r>
        <w:rPr>
          <w:bCs/>
          <w:b/>
        </w:rPr>
        <w:t xml:space="preserve">PART IV — THE ACCELERATION (1990–2008)</w:t>
      </w:r>
    </w:p>
    <w:p>
      <w:pPr>
        <w:pStyle w:val="BodyText"/>
      </w:pPr>
      <w:r>
        <w:t xml:space="preserve">Chapter 15: NAFTA, Welfare Reform, and the New Economy (1993–1996)</w:t>
      </w:r>
    </w:p>
    <w:p>
      <w:pPr>
        <w:pStyle w:val="BodyText"/>
      </w:pPr>
      <w:r>
        <w:t xml:space="preserve">Chapter 16: Mass Incarceration as Wage Suppression (1990–2008)</w:t>
      </w:r>
    </w:p>
    <w:p>
      <w:pPr>
        <w:pStyle w:val="BodyText"/>
      </w:pPr>
      <w:r>
        <w:t xml:space="preserve">Chapter 17: Subprime — The Targeted Destruction of Black Wealth (2000–2008)</w:t>
      </w:r>
    </w:p>
    <w:p>
      <w:pPr>
        <w:pStyle w:val="BodyText"/>
      </w:pPr>
      <w:r>
        <w:t xml:space="preserve">Chapter 18: The Great Recession — Disparate Devastation (2008–2010)</w:t>
      </w:r>
    </w:p>
    <w:p>
      <w:pPr>
        <w:pStyle w:val="BodyText"/>
      </w:pPr>
      <w:r>
        <w:rPr>
          <w:bCs/>
          <w:b/>
        </w:rPr>
        <w:t xml:space="preserve">PART V — THE PRESENT (2010–2026)</w:t>
      </w:r>
    </w:p>
    <w:p>
      <w:pPr>
        <w:pStyle w:val="BodyText"/>
      </w:pPr>
      <w:r>
        <w:t xml:space="preserve">Chapter 19: Recovery, Gig Work, and the New Precariat (2010–2019)</w:t>
      </w:r>
    </w:p>
    <w:p>
      <w:pPr>
        <w:pStyle w:val="BodyText"/>
      </w:pPr>
      <w:r>
        <w:t xml:space="preserve">Chapter 20: COVID-19 — The Pandemic as X-Ray (2020–2021)</w:t>
      </w:r>
    </w:p>
    <w:p>
      <w:pPr>
        <w:pStyle w:val="BodyText"/>
      </w:pPr>
      <w:r>
        <w:t xml:space="preserve">Chapter 21: Algorithmic Inequality — When AI Inherits the Gap (2020–2026)</w:t>
      </w:r>
    </w:p>
    <w:p>
      <w:pPr>
        <w:pStyle w:val="BodyText"/>
      </w:pPr>
      <w:r>
        <w:t xml:space="preserve">Chapter 22: The Numbers Right Now — 2026 Snapshot</w:t>
      </w:r>
    </w:p>
    <w:p>
      <w:pPr>
        <w:pStyle w:val="BodyText"/>
      </w:pPr>
      <w:r>
        <w:rPr>
          <w:bCs/>
          <w:b/>
        </w:rPr>
        <w:t xml:space="preserve">PART VI — THE ARITHMETIC</w:t>
      </w:r>
    </w:p>
    <w:p>
      <w:pPr>
        <w:pStyle w:val="BodyText"/>
      </w:pPr>
      <w:r>
        <w:t xml:space="preserve">Chapter 23: The Compound Interest Calculation</w:t>
      </w:r>
    </w:p>
    <w:p>
      <w:pPr>
        <w:pStyle w:val="BodyText"/>
      </w:pPr>
      <w:r>
        <w:t xml:space="preserve">Chapter 24: What Closing the Gap Would Actually Require</w:t>
      </w:r>
    </w:p>
    <w:p>
      <w:pPr>
        <w:pStyle w:val="BodyText"/>
      </w:pPr>
      <w:r>
        <w:rPr>
          <w:bCs/>
          <w:b/>
        </w:rPr>
        <w:t xml:space="preserve">APPENDICES</w:t>
      </w:r>
    </w:p>
    <w:p>
      <w:pPr>
        <w:pStyle w:val="BodyText"/>
      </w:pPr>
      <w:r>
        <w:t xml:space="preserve">Appendix A: Wage Gap Data Tables (1940–2025)</w:t>
      </w:r>
    </w:p>
    <w:p>
      <w:pPr>
        <w:pStyle w:val="BodyText"/>
      </w:pPr>
      <w:r>
        <w:t xml:space="preserve">Appendix B: Wealth Gap Data Tables (1940–2025)</w:t>
      </w:r>
    </w:p>
    <w:p>
      <w:pPr>
        <w:pStyle w:val="BodyText"/>
      </w:pPr>
      <w:r>
        <w:t xml:space="preserve">Appendix C: Key Legislation Timeline</w:t>
      </w:r>
    </w:p>
    <w:p>
      <w:pPr>
        <w:pStyle w:val="BodyText"/>
      </w:pPr>
      <w:r>
        <w:t xml:space="preserve">Appendix D: Sources and Methodology</w:t>
      </w:r>
    </w:p>
    <w:p>
      <w:pPr>
        <w:pStyle w:val="BodyText"/>
      </w:pPr>
      <w:r>
        <w:t xml:space="preserve">Appendix E: Glossary</w:t>
      </w:r>
    </w:p>
    <w:bookmarkStart w:id="21" w:name="X208f239f3a9698ddb0814cdd0e4f1ad997188e4"/>
    <w:p>
      <w:pPr>
        <w:pStyle w:val="Heading1"/>
      </w:pPr>
      <w:r>
        <w:t xml:space="preserve">Introduction: The Compound Interest of Injustice</w:t>
      </w:r>
    </w:p>
    <w:p>
      <w:pPr>
        <w:pStyle w:val="FirstParagraph"/>
      </w:pPr>
      <w:r>
        <w:t xml:space="preserve">The racial wealth gap in America is not a mystery. It is not a cultural phenomenon. It is not explained by individual choices, work ethic, or educational attainment. It is the predictable, mathematically inevitable result of ninety-five years of policy decisions that systematically excluded non-white Americans from wealth-building mechanisms while subsidizing white wealth accumulation with federal dollars.</w:t>
      </w:r>
    </w:p>
    <w:p>
      <w:pPr>
        <w:pStyle w:val="BodyText"/>
      </w:pPr>
      <w:r>
        <w:t xml:space="preserve">Here is the core arithmetic: if you pay one group of workers 60 cents for every dollar you pay another group, and you do this for 95 years, and the underpaid group is simultaneously excluded from homeownership (the primary wealth-building vehicle for working Americans), excluded from higher education subsidies, excluded from union membership, excluded from business loans, and disproportionately incarcerated (removing them from the labor force entirely) — the result is not a gap. It is a chasm. And the chasm is not closing. It is widening.</w:t>
      </w:r>
    </w:p>
    <w:bookmarkStart w:id="20" w:name="the-numbers-in-brief"/>
    <w:p>
      <w:pPr>
        <w:pStyle w:val="Heading2"/>
      </w:pPr>
      <w:r>
        <w:t xml:space="preserve">The Numbers in Brief</w:t>
      </w:r>
    </w:p>
    <w:p>
      <w:pPr>
        <w:pStyle w:val="FirstParagraph"/>
      </w:pPr>
      <w:r>
        <w:rPr>
          <w:bCs/>
          <w:b/>
        </w:rPr>
        <w:t xml:space="preserve">Median white household wealth (2022):</w:t>
      </w:r>
      <w:r>
        <w:rPr>
          <w:bCs/>
          <w:b/>
        </w:rPr>
        <w:t xml:space="preserve"> </w:t>
      </w:r>
      <w:r>
        <w:t xml:space="preserve">$285,000. Source: Federal Reserve Survey of Consumer Finances.</w:t>
      </w:r>
    </w:p>
    <w:p>
      <w:pPr>
        <w:pStyle w:val="BodyText"/>
      </w:pPr>
      <w:r>
        <w:rPr>
          <w:bCs/>
          <w:b/>
        </w:rPr>
        <w:t xml:space="preserve">Median Black household wealth (2022):</w:t>
      </w:r>
      <w:r>
        <w:rPr>
          <w:bCs/>
          <w:b/>
        </w:rPr>
        <w:t xml:space="preserve"> </w:t>
      </w:r>
      <w:r>
        <w:t xml:space="preserve">$44,900. Source: Federal Reserve Survey of Consumer Finances.</w:t>
      </w:r>
    </w:p>
    <w:p>
      <w:pPr>
        <w:pStyle w:val="BodyText"/>
      </w:pPr>
      <w:r>
        <w:rPr>
          <w:bCs/>
          <w:b/>
        </w:rPr>
        <w:t xml:space="preserve">Ratio:</w:t>
      </w:r>
      <w:r>
        <w:rPr>
          <w:bCs/>
          <w:b/>
        </w:rPr>
        <w:t xml:space="preserve"> </w:t>
      </w:r>
      <w:r>
        <w:t xml:space="preserve">6.3 to 1. For every dollar of wealth held by the median Black household, the median white household holds $6.30.</w:t>
      </w:r>
    </w:p>
    <w:p>
      <w:pPr>
        <w:pStyle w:val="BodyText"/>
      </w:pPr>
      <w:r>
        <w:rPr>
          <w:bCs/>
          <w:b/>
        </w:rPr>
        <w:t xml:space="preserve">Median Hispanic household wealth (2022):</w:t>
      </w:r>
      <w:r>
        <w:rPr>
          <w:bCs/>
          <w:b/>
        </w:rPr>
        <w:t xml:space="preserve"> </w:t>
      </w:r>
      <w:r>
        <w:t xml:space="preserve">$61,600. Ratio to white: 4.6 to 1.</w:t>
      </w:r>
    </w:p>
    <w:p>
      <w:pPr>
        <w:pStyle w:val="BodyText"/>
      </w:pPr>
      <w:r>
        <w:rPr>
          <w:bCs/>
          <w:b/>
        </w:rPr>
        <w:t xml:space="preserve">Women’s earnings as percentage of men’s (2024):</w:t>
      </w:r>
      <w:r>
        <w:rPr>
          <w:bCs/>
          <w:b/>
        </w:rPr>
        <w:t xml:space="preserve"> </w:t>
      </w:r>
      <w:r>
        <w:t xml:space="preserve">83.6 cents per dollar. Source: Bureau of Labor Statistics.</w:t>
      </w:r>
    </w:p>
    <w:p>
      <w:pPr>
        <w:pStyle w:val="BodyText"/>
      </w:pPr>
      <w:r>
        <w:rPr>
          <w:bCs/>
          <w:b/>
        </w:rPr>
        <w:t xml:space="preserve">Black women’s earnings as percentage of white men’s (2024):</w:t>
      </w:r>
      <w:r>
        <w:rPr>
          <w:bCs/>
          <w:b/>
        </w:rPr>
        <w:t xml:space="preserve"> </w:t>
      </w:r>
      <w:r>
        <w:t xml:space="preserve">69 cents per dollar.</w:t>
      </w:r>
    </w:p>
    <w:p>
      <w:pPr>
        <w:pStyle w:val="BodyText"/>
      </w:pPr>
      <w:r>
        <w:rPr>
          <w:bCs/>
          <w:b/>
        </w:rPr>
        <w:t xml:space="preserve">Hispanic women’s earnings as percentage of white men’s (2024):</w:t>
      </w:r>
      <w:r>
        <w:rPr>
          <w:bCs/>
          <w:b/>
        </w:rPr>
        <w:t xml:space="preserve"> </w:t>
      </w:r>
      <w:r>
        <w:t xml:space="preserve">57 cents per dollar.</w:t>
      </w:r>
    </w:p>
    <w:p>
      <w:pPr>
        <w:pStyle w:val="BodyText"/>
      </w:pPr>
      <w:r>
        <w:t xml:space="preserve">These numbers did not happen by accident. Every one of them traces to identifiable policy decisions made between 1931 and today. This book traces those decisions, documents their effects with federal data, and calculates the compound cost.</w:t>
      </w:r>
    </w:p>
    <w:p>
      <w:pPr>
        <w:pStyle w:val="BodyText"/>
      </w:pPr>
      <w:r>
        <w:rPr>
          <w:bCs/>
          <w:b/>
        </w:rPr>
        <w:t xml:space="preserve">The gap is not a mystery. It is arithmetic.</w:t>
      </w:r>
    </w:p>
    <w:p>
      <w:pPr>
        <w:pStyle w:val="BodyText"/>
      </w:pPr>
      <w:r>
        <w:rPr>
          <w:bCs/>
          <w:b/>
        </w:rPr>
        <w:t xml:space="preserve">PART I</w:t>
      </w:r>
    </w:p>
    <w:p>
      <w:pPr>
        <w:pStyle w:val="BodyText"/>
      </w:pPr>
      <w:r>
        <w:t xml:space="preserve">THE FOUNDATION (1931–1945)</w:t>
      </w:r>
    </w:p>
    <w:p>
      <w:pPr>
        <w:pStyle w:val="BodyText"/>
      </w:pPr>
      <w:r>
        <w:rPr>
          <w:iCs/>
          <w:i/>
        </w:rPr>
        <w:t xml:space="preserve">The architecture of inequality was not inherited. It was engineered. And the engineering began with specific laws, passed by specific legislators, for specific purposes.</w:t>
      </w:r>
    </w:p>
    <w:bookmarkEnd w:id="20"/>
    <w:bookmarkEnd w:id="21"/>
    <w:bookmarkStart w:id="24" w:name="X54b3e6bf5aacac695d7ccf6c087ca01b8f1c353"/>
    <w:p>
      <w:pPr>
        <w:pStyle w:val="Heading1"/>
      </w:pPr>
      <w:r>
        <w:t xml:space="preserve">Chapter 1: Davis-Bacon and the Architecture of Exclusion (1931)</w:t>
      </w:r>
    </w:p>
    <w:p>
      <w:pPr>
        <w:pStyle w:val="FirstParagraph"/>
      </w:pPr>
      <w:r>
        <w:t xml:space="preserve">The Davis-Bacon Act, signed by President Herbert Hoover on March 3, 1931, requires contractors on federally funded construction projects to pay workers the</w:t>
      </w:r>
      <w:r>
        <w:t xml:space="preserve"> </w:t>
      </w:r>
      <w:r>
        <w:t xml:space="preserve">“</w:t>
      </w:r>
      <w:r>
        <w:t xml:space="preserve">prevailing wage</w:t>
      </w:r>
      <w:r>
        <w:t xml:space="preserve">”</w:t>
      </w:r>
      <w:r>
        <w:t xml:space="preserve"> </w:t>
      </w:r>
      <w:r>
        <w:t xml:space="preserve">in the area. On its face, this sounds protective. In practice, it was designed to exclude Black workers from federal construction jobs.</w:t>
      </w:r>
    </w:p>
    <w:p>
      <w:pPr>
        <w:pStyle w:val="BodyText"/>
      </w:pPr>
      <w:r>
        <w:t xml:space="preserve">The legislative record is explicit. Representative Robert Bacon of New York introduced the bill after a contractor brought Black workers from Alabama to build a Veterans’ Bureau hospital on Long Island. The workers were paid less than local (white) workers. Rather than demanding that the Black workers receive equal pay, Bacon demanded that only local (white) workers be hired.</w:t>
      </w:r>
    </w:p>
    <w:p>
      <w:pPr>
        <w:pStyle w:val="BodyText"/>
      </w:pPr>
      <w:r>
        <w:t xml:space="preserve">The</w:t>
      </w:r>
      <w:r>
        <w:t xml:space="preserve"> </w:t>
      </w:r>
      <w:r>
        <w:t xml:space="preserve">“</w:t>
      </w:r>
      <w:r>
        <w:t xml:space="preserve">prevailing wage</w:t>
      </w:r>
      <w:r>
        <w:t xml:space="preserve">”</w:t>
      </w:r>
      <w:r>
        <w:t xml:space="preserve"> </w:t>
      </w:r>
      <w:r>
        <w:t xml:space="preserve">was defined as the union wage. Black workers were excluded from most construction unions in 1931. By requiring the union wage, Davis-Bacon effectively required the hiring of white union workers and the exclusion of non-union Black workers who would have worked for less — not because they were worth less, but because they had no other option.</w:t>
      </w:r>
    </w:p>
    <w:bookmarkStart w:id="22" w:name="the-mechanism"/>
    <w:p>
      <w:pPr>
        <w:pStyle w:val="Heading2"/>
      </w:pPr>
      <w:r>
        <w:t xml:space="preserve">1.1 — The Mechanism</w:t>
      </w:r>
    </w:p>
    <w:p>
      <w:pPr>
        <w:pStyle w:val="FirstParagraph"/>
      </w:pPr>
      <w:r>
        <w:t xml:space="preserve">Davis-Bacon operates through three interlocking exclusions:</w:t>
      </w:r>
    </w:p>
    <w:p>
      <w:pPr>
        <w:pStyle w:val="BodyText"/>
      </w:pPr>
      <w:r>
        <w:rPr>
          <w:bCs/>
          <w:b/>
        </w:rPr>
        <w:t xml:space="preserve">1. Union requirement:</w:t>
      </w:r>
      <w:r>
        <w:rPr>
          <w:bCs/>
          <w:b/>
        </w:rPr>
        <w:t xml:space="preserve"> </w:t>
      </w:r>
      <w:r>
        <w:t xml:space="preserve">Prevailing wage = union wage. Black workers excluded from unions = excluded from work.</w:t>
      </w:r>
    </w:p>
    <w:p>
      <w:pPr>
        <w:pStyle w:val="BodyText"/>
      </w:pPr>
      <w:r>
        <w:rPr>
          <w:bCs/>
          <w:b/>
        </w:rPr>
        <w:t xml:space="preserve">2. Local preference:</w:t>
      </w:r>
      <w:r>
        <w:rPr>
          <w:bCs/>
          <w:b/>
        </w:rPr>
        <w:t xml:space="preserve"> </w:t>
      </w:r>
      <w:r>
        <w:t xml:space="preserve">Contractors must hire local workers at local prevailing rates. In segregated areas,</w:t>
      </w:r>
      <w:r>
        <w:t xml:space="preserve"> </w:t>
      </w:r>
      <w:r>
        <w:t xml:space="preserve">“</w:t>
      </w:r>
      <w:r>
        <w:t xml:space="preserve">local</w:t>
      </w:r>
      <w:r>
        <w:t xml:space="preserve">”</w:t>
      </w:r>
      <w:r>
        <w:t xml:space="preserve"> </w:t>
      </w:r>
      <w:r>
        <w:t xml:space="preserve">meant white.</w:t>
      </w:r>
    </w:p>
    <w:p>
      <w:pPr>
        <w:pStyle w:val="BodyText"/>
      </w:pPr>
      <w:r>
        <w:rPr>
          <w:bCs/>
          <w:b/>
        </w:rPr>
        <w:t xml:space="preserve">3. Federal funding:</w:t>
      </w:r>
      <w:r>
        <w:rPr>
          <w:bCs/>
          <w:b/>
        </w:rPr>
        <w:t xml:space="preserve"> </w:t>
      </w:r>
      <w:r>
        <w:t xml:space="preserve">The law applies to all federally funded construction. The federal government became the enforcer of racial exclusion in the construction trades.</w:t>
      </w:r>
    </w:p>
    <w:p>
      <w:pPr>
        <w:pStyle w:val="BodyText"/>
      </w:pPr>
      <w:r>
        <w:t xml:space="preserve">Davis-Bacon remains in effect in 2026. It has been amended but never repealed. The Government Accountability Office has documented its continued disparate impact in reports spanning five decades.</w:t>
      </w:r>
    </w:p>
    <w:bookmarkEnd w:id="22"/>
    <w:bookmarkStart w:id="23" w:name="the-cost"/>
    <w:p>
      <w:pPr>
        <w:pStyle w:val="Heading2"/>
      </w:pPr>
      <w:r>
        <w:t xml:space="preserve">1.2 — The Cost</w:t>
      </w:r>
    </w:p>
    <w:p>
      <w:pPr>
        <w:pStyle w:val="FirstParagraph"/>
      </w:pPr>
      <w:r>
        <w:t xml:space="preserve">Federal construction spending from 1931 to 1964 (when the Civil Rights Act nominally prohibited employment discrimination) totaled approximately $250 billion in 2024 dollars. Black workers were systematically excluded from this spending. At the Black population percentage of approximately 10–12% during this period, the exclusion represents approximately $25–30 billion in lost wages — wages that would have generated savings, homeownership, and intergenerational wealth transfer.</w:t>
      </w:r>
    </w:p>
    <w:p>
      <w:pPr>
        <w:pStyle w:val="BodyText"/>
      </w:pPr>
      <w:r>
        <w:t xml:space="preserve">That $25–30 billion in lost 1931–1964 wages, compounded at the average rate of return on home equity (approximately 4–6% annually), represents $200–500 billion in lost wealth by 2026. From one law.</w:t>
      </w:r>
    </w:p>
    <w:bookmarkEnd w:id="23"/>
    <w:bookmarkEnd w:id="24"/>
    <w:bookmarkStart w:id="29" w:name="Xf1bbb29116ebe3c2e3e6fc2dfe50825aad8ee1b"/>
    <w:p>
      <w:pPr>
        <w:pStyle w:val="Heading1"/>
      </w:pPr>
      <w:r>
        <w:t xml:space="preserve">Chapter 2: The New Deal — Recovery for Whom (1933–1938)</w:t>
      </w:r>
    </w:p>
    <w:p>
      <w:pPr>
        <w:pStyle w:val="FirstParagraph"/>
      </w:pPr>
      <w:r>
        <w:t xml:space="preserve">Franklin Roosevelt’s New Deal is remembered as the salvation of the American working class. It was — for white workers. For Black workers, the New Deal was a catastrophe disguised as a rescue.</w:t>
      </w:r>
    </w:p>
    <w:p>
      <w:pPr>
        <w:pStyle w:val="BodyText"/>
      </w:pPr>
      <w:r>
        <w:t xml:space="preserve">The political reality: Roosevelt needed Southern Democrats to pass New Deal legislation. Southern Democrats demanded that agricultural workers and domestic workers be excluded from New Deal protections. In 1930, approximately 60% of employed Black workers were in agriculture or domestic service in the South. The exclusion was surgical.</w:t>
      </w:r>
    </w:p>
    <w:bookmarkStart w:id="25" w:name="social-security-act-1935"/>
    <w:p>
      <w:pPr>
        <w:pStyle w:val="Heading2"/>
      </w:pPr>
      <w:r>
        <w:t xml:space="preserve">2.1 — Social Security Act (1935)</w:t>
      </w:r>
    </w:p>
    <w:p>
      <w:pPr>
        <w:pStyle w:val="FirstParagraph"/>
      </w:pPr>
      <w:r>
        <w:t xml:space="preserve">The original Social Security Act excluded agricultural laborers and domestic servants. This was not race-neutral. In 1935, 65% of African Americans nationally, and 70–80% in the South, worked in these two categories. The exclusion meant that the majority of Black workers paid into no retirement system, accumulated no Social Security credits, and received no survivor benefits.</w:t>
      </w:r>
    </w:p>
    <w:p>
      <w:pPr>
        <w:pStyle w:val="BodyText"/>
      </w:pPr>
      <w:r>
        <w:t xml:space="preserve">The exclusions were not corrected until 1950 (domestic workers) and 1954 (agricultural workers) — a 15–19 year gap during which white workers accumulated Social Security credits and Black workers did not. Those missed years of contributions compound across generations.</w:t>
      </w:r>
    </w:p>
    <w:bookmarkEnd w:id="25"/>
    <w:bookmarkStart w:id="26" w:name="Xb9067917bf8618647ce7d64eca85c714f8edc06"/>
    <w:p>
      <w:pPr>
        <w:pStyle w:val="Heading2"/>
      </w:pPr>
      <w:r>
        <w:t xml:space="preserve">2.2 — National Labor Relations Act (Wagner Act, 1935)</w:t>
      </w:r>
    </w:p>
    <w:p>
      <w:pPr>
        <w:pStyle w:val="FirstParagraph"/>
      </w:pPr>
      <w:r>
        <w:t xml:space="preserve">The Wagner Act guaranteed the right to organize and bargain collectively. It explicitly excluded agricultural workers and domestic workers from its protections. The same 60% of Black workers left out of Social Security were left out of labor law.</w:t>
      </w:r>
    </w:p>
    <w:p>
      <w:pPr>
        <w:pStyle w:val="BodyText"/>
      </w:pPr>
      <w:r>
        <w:t xml:space="preserve">The effect was dual: white workers could unionize, bargain for higher wages, and accumulate the benefits of collective action. Black workers in agriculture and domestic service had no legal right to organize, no protection from retaliation, and no mechanism for collective bargaining. The wage gap between unionized white workers and non-union Black workers widened from the moment the Wagner Act was signed.</w:t>
      </w:r>
    </w:p>
    <w:bookmarkEnd w:id="26"/>
    <w:bookmarkStart w:id="27" w:name="the-civilian-conservation-corps"/>
    <w:p>
      <w:pPr>
        <w:pStyle w:val="Heading2"/>
      </w:pPr>
      <w:r>
        <w:t xml:space="preserve">2.3 — The Civilian Conservation Corps</w:t>
      </w:r>
    </w:p>
    <w:p>
      <w:pPr>
        <w:pStyle w:val="FirstParagraph"/>
      </w:pPr>
      <w:r>
        <w:t xml:space="preserve">The CCC employed 3 million young men between 1933 and 1942 in conservation and infrastructure projects. Black enrollment was capped at approximately 10% of total enrollment despite Black Americans comprising 12% of the population and experiencing significantly higher unemployment. CCC camps were segregated. Black enrollees were frequently assigned to less skilled work with fewer training opportunities. The program built skills and networks that translated into post-program employment — but disproportionately for white participants.</w:t>
      </w:r>
    </w:p>
    <w:bookmarkEnd w:id="27"/>
    <w:bookmarkStart w:id="28" w:name="cumulative-new-deal-impact"/>
    <w:p>
      <w:pPr>
        <w:pStyle w:val="Heading2"/>
      </w:pPr>
      <w:r>
        <w:t xml:space="preserve">2.4 — Cumulative New Deal Impact</w:t>
      </w:r>
    </w:p>
    <w:p>
      <w:pPr>
        <w:pStyle w:val="FirstParagraph"/>
      </w:pPr>
      <w:r>
        <w:t xml:space="preserve">The New Deal created the American middle class. The exclusions ensured that the American middle class was white. This was not an unintended consequence. It was the negotiated price of Southern Democratic support for the legislation.</w:t>
      </w:r>
    </w:p>
    <w:bookmarkEnd w:id="28"/>
    <w:bookmarkEnd w:id="29"/>
    <w:bookmarkStart w:id="34" w:name="Xe9dc6096abf17426b080d9898bcc1891105ff79"/>
    <w:p>
      <w:pPr>
        <w:pStyle w:val="Heading1"/>
      </w:pPr>
      <w:r>
        <w:t xml:space="preserve">Chapter 3: Redlining — The Map That Built the Wealth Gap (1934)</w:t>
      </w:r>
    </w:p>
    <w:p>
      <w:pPr>
        <w:pStyle w:val="FirstParagraph"/>
      </w:pPr>
      <w:r>
        <w:t xml:space="preserve">The Federal Housing Administration, created in 1934 as part of the National Housing Act, insured private mortgages against default. This made homeownership accessible to millions of Americans who could not previously afford it. The 30-year fixed-rate mortgage — the foundation of middle-class wealth accumulation in America — was an FHA invention.</w:t>
      </w:r>
    </w:p>
    <w:p>
      <w:pPr>
        <w:pStyle w:val="BodyText"/>
      </w:pPr>
      <w:r>
        <w:t xml:space="preserve">The FHA also invented redlining.</w:t>
      </w:r>
    </w:p>
    <w:bookmarkStart w:id="30" w:name="the-holc-maps"/>
    <w:p>
      <w:pPr>
        <w:pStyle w:val="Heading2"/>
      </w:pPr>
      <w:r>
        <w:t xml:space="preserve">3.1 — The HOLC Maps</w:t>
      </w:r>
    </w:p>
    <w:p>
      <w:pPr>
        <w:pStyle w:val="FirstParagraph"/>
      </w:pPr>
      <w:r>
        <w:t xml:space="preserve">The Home Owners’ Loan Corporation (HOLC), created in 1933, developed residential security maps for 239 cities between 1935 and 1940. These maps rated neighborhoods from A (</w:t>
      </w:r>
      <w:r>
        <w:t xml:space="preserve">“</w:t>
      </w:r>
      <w:r>
        <w:t xml:space="preserve">Best,</w:t>
      </w:r>
      <w:r>
        <w:t xml:space="preserve">”</w:t>
      </w:r>
      <w:r>
        <w:t xml:space="preserve"> </w:t>
      </w:r>
      <w:r>
        <w:t xml:space="preserve">green) to D (</w:t>
      </w:r>
      <w:r>
        <w:t xml:space="preserve">“</w:t>
      </w:r>
      <w:r>
        <w:t xml:space="preserve">Hazardous,</w:t>
      </w:r>
      <w:r>
        <w:t xml:space="preserve">”</w:t>
      </w:r>
      <w:r>
        <w:t xml:space="preserve"> </w:t>
      </w:r>
      <w:r>
        <w:t xml:space="preserve">red). The criteria for a D rating included: proximity to or occupation by</w:t>
      </w:r>
      <w:r>
        <w:t xml:space="preserve"> </w:t>
      </w:r>
      <w:r>
        <w:t xml:space="preserve">“</w:t>
      </w:r>
      <w:r>
        <w:t xml:space="preserve">subversive racial elements,</w:t>
      </w:r>
      <w:r>
        <w:t xml:space="preserve">”</w:t>
      </w:r>
      <w:r>
        <w:t xml:space="preserve"> </w:t>
      </w:r>
      <w:r>
        <w:t xml:space="preserve">“</w:t>
      </w:r>
      <w:r>
        <w:t xml:space="preserve">infilttation of Negroes,</w:t>
      </w:r>
      <w:r>
        <w:t xml:space="preserve">”</w:t>
      </w:r>
      <w:r>
        <w:t xml:space="preserve"> </w:t>
      </w:r>
      <w:r>
        <w:t xml:space="preserve">“</w:t>
      </w:r>
      <w:r>
        <w:t xml:space="preserve">mixed races,</w:t>
      </w:r>
      <w:r>
        <w:t xml:space="preserve">”</w:t>
      </w:r>
      <w:r>
        <w:t xml:space="preserve"> </w:t>
      </w:r>
      <w:r>
        <w:t xml:space="preserve">and</w:t>
      </w:r>
      <w:r>
        <w:t xml:space="preserve"> </w:t>
      </w:r>
      <w:r>
        <w:t xml:space="preserve">“</w:t>
      </w:r>
      <w:r>
        <w:t xml:space="preserve">foreign-born.</w:t>
      </w:r>
      <w:r>
        <w:t xml:space="preserve">”</w:t>
      </w:r>
    </w:p>
    <w:p>
      <w:pPr>
        <w:pStyle w:val="BodyText"/>
      </w:pPr>
      <w:r>
        <w:t xml:space="preserve">The language in the HOLC area descriptions is explicit. A 1937 HOLC report for Philadelphia described one neighborhood as:</w:t>
      </w:r>
      <w:r>
        <w:t xml:space="preserve"> </w:t>
      </w:r>
      <w:r>
        <w:t xml:space="preserve">“</w:t>
      </w:r>
      <w:r>
        <w:t xml:space="preserve">Colored infiltration is a definitely adverse influence on neighborhood desirability.</w:t>
      </w:r>
      <w:r>
        <w:t xml:space="preserve">”</w:t>
      </w:r>
      <w:r>
        <w:t xml:space="preserve"> </w:t>
      </w:r>
      <w:r>
        <w:t xml:space="preserve">A Detroit report stated:</w:t>
      </w:r>
      <w:r>
        <w:t xml:space="preserve"> </w:t>
      </w:r>
      <w:r>
        <w:t xml:space="preserve">“</w:t>
      </w:r>
      <w:r>
        <w:t xml:space="preserve">Detrimental influences: colored.</w:t>
      </w:r>
      <w:r>
        <w:t xml:space="preserve">”</w:t>
      </w:r>
      <w:r>
        <w:t xml:space="preserve"> </w:t>
      </w:r>
      <w:r>
        <w:t xml:space="preserve">These are federal documents, available in the National Archives.</w:t>
      </w:r>
    </w:p>
    <w:bookmarkEnd w:id="30"/>
    <w:bookmarkStart w:id="31" w:name="the-fha-underwriting-manual"/>
    <w:p>
      <w:pPr>
        <w:pStyle w:val="Heading2"/>
      </w:pPr>
      <w:r>
        <w:t xml:space="preserve">3.2 — The FHA Underwriting Manual</w:t>
      </w:r>
    </w:p>
    <w:p>
      <w:pPr>
        <w:pStyle w:val="FirstParagraph"/>
      </w:pPr>
      <w:r>
        <w:t xml:space="preserve">The FHA’s Underwriting Manual, used from 1935 through the 1960s, stated:</w:t>
      </w:r>
      <w:r>
        <w:t xml:space="preserve"> </w:t>
      </w:r>
      <w:r>
        <w:t xml:space="preserve">“</w:t>
      </w:r>
      <w:r>
        <w:t xml:space="preserve">If a neighborhood is to retain stability, it is necessary that properties shall continue to be occupied by the same social and racial classes.</w:t>
      </w:r>
      <w:r>
        <w:t xml:space="preserve">”</w:t>
      </w:r>
      <w:r>
        <w:t xml:space="preserve"> </w:t>
      </w:r>
      <w:r>
        <w:t xml:space="preserve">The manual recommended that deeds include restrictive covenants preventing sale to non-whites as a condition of FHA insurance.</w:t>
      </w:r>
    </w:p>
    <w:p>
      <w:pPr>
        <w:pStyle w:val="BodyText"/>
      </w:pPr>
      <w:r>
        <w:t xml:space="preserve">This meant: the federal government would not insure mortgages in Black neighborhoods (redlined areas). Banks would not lend without FHA insurance. Without mortgages, residents could not buy homes. Without homeownership, they could not build equity. Without equity, they could not build wealth. Without wealth, they could not invest in education, businesses, or the next generation.</w:t>
      </w:r>
    </w:p>
    <w:bookmarkEnd w:id="31"/>
    <w:bookmarkStart w:id="32" w:name="the-numbers"/>
    <w:p>
      <w:pPr>
        <w:pStyle w:val="Heading2"/>
      </w:pPr>
      <w:r>
        <w:t xml:space="preserve">3.3 — The Numbers</w:t>
      </w:r>
    </w:p>
    <w:p>
      <w:pPr>
        <w:pStyle w:val="FirstParagraph"/>
      </w:pPr>
      <w:r>
        <w:t xml:space="preserve">Between 1934 and 1962, the FHA insured $120 billion in mortgages. Less than 2% of FHA-insured mortgages went to non-white borrowers. In the same period, the homeownership rate for white Americans rose from 44% to 64%. For Black Americans, it rose from 23% to 38%.</w:t>
      </w:r>
    </w:p>
    <w:p>
      <w:pPr>
        <w:pStyle w:val="BodyText"/>
      </w:pPr>
      <w:r>
        <w:t xml:space="preserve">The wealth gap is not primarily an income gap. It is an asset gap. And the single largest asset for most American families is their home. The FHA created homeownership for white America and systematically denied it to Black America. The wealth gap is redlining, compounded for 90 years.</w:t>
      </w:r>
    </w:p>
    <w:bookmarkEnd w:id="32"/>
    <w:bookmarkStart w:id="33" w:name="long-term-impact"/>
    <w:p>
      <w:pPr>
        <w:pStyle w:val="Heading2"/>
      </w:pPr>
      <w:r>
        <w:t xml:space="preserve">3.4 — Long-Term Impact</w:t>
      </w:r>
    </w:p>
    <w:p>
      <w:pPr>
        <w:pStyle w:val="FirstParagraph"/>
      </w:pPr>
      <w:r>
        <w:t xml:space="preserve">A 2018 study by the National Community Reinvestment Coalition analyzed all 239 HOLC-graded cities and found that 74% of neighborhoods rated D in the 1930s remain low-to-moderate income today. 64% are still majority-minority. The maps drawn 90 years ago still predict poverty and segregation in 2026.</w:t>
      </w:r>
    </w:p>
    <w:p>
      <w:pPr>
        <w:pStyle w:val="BodyText"/>
      </w:pPr>
      <w:r>
        <w:t xml:space="preserve">The half-life of a redline is longer than the half-life of most radioactive isotopes.</w:t>
      </w:r>
    </w:p>
    <w:bookmarkEnd w:id="33"/>
    <w:bookmarkEnd w:id="34"/>
    <w:bookmarkStart w:id="35" w:name="Xccc07f2bbcbbe162f0a88f5a88b439f1350b3e6"/>
    <w:p>
      <w:pPr>
        <w:pStyle w:val="Heading1"/>
      </w:pPr>
      <w:r>
        <w:t xml:space="preserve">Chapter 4: Fair Labor Standards Act — The Workers Left Out (1938)</w:t>
      </w:r>
    </w:p>
    <w:p>
      <w:pPr>
        <w:pStyle w:val="FirstParagraph"/>
      </w:pPr>
      <w:r>
        <w:t xml:space="preserve">The FLSA established the first federal minimum wage (25 cents per hour), maximum work week (44 hours), and prohibition on child labor. Like every other New Deal program, it excluded agricultural workers and domestic servants.</w:t>
      </w:r>
    </w:p>
    <w:p>
      <w:pPr>
        <w:pStyle w:val="BodyText"/>
      </w:pPr>
      <w:r>
        <w:t xml:space="preserve">In 1938, the minimum wage of 25 cents per hour applied to approximately 20% of the American workforce. It did not apply to the majority of Black workers. When the minimum wage was raised to 75 cents in 1950, and to $1.00 in 1955, agricultural and domestic workers were still excluded. Partial coverage for agricultural workers did not arrive until 1966. Full coverage came in 1977 — 39 years after the FLSA was enacted.</w:t>
      </w:r>
    </w:p>
    <w:p>
      <w:pPr>
        <w:pStyle w:val="BodyText"/>
      </w:pPr>
      <w:r>
        <w:t xml:space="preserve">For 39 years, the federal minimum wage created a floor under white wages while Black workers in agriculture and domestic service had no floor at all. The gap between the minimum wage and the prevailing agricultural wage averaged 30–40% during this period. That 30–40% difference, compounded over 39 years, is a measurable component of the current wealth gap.</w:t>
      </w:r>
    </w:p>
    <w:bookmarkEnd w:id="35"/>
    <w:bookmarkStart w:id="39" w:name="Xff54db52a96bc418e58e1511eece72ed9a0ed92"/>
    <w:p>
      <w:pPr>
        <w:pStyle w:val="Heading1"/>
      </w:pPr>
      <w:r>
        <w:t xml:space="preserve">Chapter 5: War, Wages, and the Double V (1941–1945)</w:t>
      </w:r>
    </w:p>
    <w:p>
      <w:pPr>
        <w:pStyle w:val="FirstParagraph"/>
      </w:pPr>
      <w:r>
        <w:t xml:space="preserve">World War II compressed the wage gap — temporarily. The wartime labor shortage forced employers to hire Black workers in manufacturing jobs previously reserved for whites. Executive Order 8802 (1941), signed by Roosevelt after A. Philip Randolph threatened a march on Washington, prohibited racial discrimination in defense industries and federal agencies.</w:t>
      </w:r>
    </w:p>
    <w:bookmarkStart w:id="36" w:name="the-war-economy"/>
    <w:p>
      <w:pPr>
        <w:pStyle w:val="Heading2"/>
      </w:pPr>
      <w:r>
        <w:t xml:space="preserve">5.1 — The War Economy</w:t>
      </w:r>
    </w:p>
    <w:p>
      <w:pPr>
        <w:pStyle w:val="FirstParagraph"/>
      </w:pPr>
      <w:r>
        <w:t xml:space="preserve">Black manufacturing employment more than doubled between 1940 and 1945. Median Black family income rose from 41% of white median family income in 1939 to 54% by 1947. This was the fastest convergence in the wage gap in American history — driven not by antidiscrimination policy but by labor scarcity.</w:t>
      </w:r>
    </w:p>
    <w:p>
      <w:pPr>
        <w:pStyle w:val="BodyText"/>
      </w:pPr>
      <w:r>
        <w:t xml:space="preserve">The convergence was real but fragile. It depended on wartime demand, not on structural change. When the war ended, the forces that had compressed the gap reversed.</w:t>
      </w:r>
    </w:p>
    <w:bookmarkEnd w:id="36"/>
    <w:bookmarkStart w:id="37" w:name="the-double-v"/>
    <w:p>
      <w:pPr>
        <w:pStyle w:val="Heading2"/>
      </w:pPr>
      <w:r>
        <w:t xml:space="preserve">5.2 — The Double V</w:t>
      </w:r>
    </w:p>
    <w:p>
      <w:pPr>
        <w:pStyle w:val="FirstParagraph"/>
      </w:pPr>
      <w:r>
        <w:t xml:space="preserve">Black Americans served in a segregated military. Over 1.2 million Black Americans served in World War II, primarily in support roles. Black combat units — the Tuskegee Airmen (332nd Fighter Group), the 761st Tank Battalion, the 92nd Infantry Division — distinguished themselves despite institutional resistance to their deployment.</w:t>
      </w:r>
    </w:p>
    <w:p>
      <w:pPr>
        <w:pStyle w:val="BodyText"/>
      </w:pPr>
      <w:r>
        <w:t xml:space="preserve">The</w:t>
      </w:r>
      <w:r>
        <w:t xml:space="preserve"> </w:t>
      </w:r>
      <w:r>
        <w:t xml:space="preserve">“</w:t>
      </w:r>
      <w:r>
        <w:t xml:space="preserve">Double V</w:t>
      </w:r>
      <w:r>
        <w:t xml:space="preserve">”</w:t>
      </w:r>
      <w:r>
        <w:t xml:space="preserve"> </w:t>
      </w:r>
      <w:r>
        <w:t xml:space="preserve">campaign, launched by the Pittsburgh Courier in 1942, demanded victory over fascism abroad and racism at home. The irony was structural: Black soldiers fought against a regime built on racial supremacy while serving in a military built on racial segregation, and returned to a country that would use the GI Bill to widen the very gap their service should have narrowed.</w:t>
      </w:r>
    </w:p>
    <w:bookmarkEnd w:id="37"/>
    <w:bookmarkStart w:id="38" w:name="wartime-wage-data"/>
    <w:p>
      <w:pPr>
        <w:pStyle w:val="Heading2"/>
      </w:pPr>
      <w:r>
        <w:t xml:space="preserve">5.3 — Wartime Wage Data</w:t>
      </w:r>
    </w:p>
    <w:p>
      <w:pPr>
        <w:pStyle w:val="FirstParagraph"/>
      </w:pPr>
      <w:r>
        <w:t xml:space="preserve">Source: U.S. Census Bureau, Historical Income Tables. Note: income figures are nominal (not inflation-adjusted). The ratio is the relevant measure.</w:t>
      </w:r>
    </w:p>
    <w:p>
      <w:pPr>
        <w:pStyle w:val="BodyText"/>
      </w:pPr>
      <w:r>
        <w:t xml:space="preserve">The ratio peaked at 54% in 1947–1950 and then stalled. It would not meaningfully improve again until the Civil Rights Act of 1964. The wartime compression was real, temporary, and insufficient. The gap at its narrowest wartime point was still 46 cents on the dollar.</w:t>
      </w:r>
    </w:p>
    <w:p>
      <w:pPr>
        <w:pStyle w:val="BodyText"/>
      </w:pPr>
      <w:r>
        <w:rPr>
          <w:bCs/>
          <w:b/>
        </w:rPr>
        <w:t xml:space="preserve">PART II</w:t>
      </w:r>
    </w:p>
    <w:p>
      <w:pPr>
        <w:pStyle w:val="BodyText"/>
      </w:pPr>
      <w:r>
        <w:t xml:space="preserve">THE DIVERGENCE (1945–1968)</w:t>
      </w:r>
    </w:p>
    <w:p>
      <w:pPr>
        <w:pStyle w:val="BodyText"/>
      </w:pPr>
      <w:r>
        <w:rPr>
          <w:iCs/>
          <w:i/>
        </w:rPr>
        <w:t xml:space="preserve">The GI Bill did not create the middle class. It created the white middle class. The distinction is the entire history of postwar America.</w:t>
      </w:r>
    </w:p>
    <w:bookmarkEnd w:id="38"/>
    <w:bookmarkEnd w:id="39"/>
    <w:bookmarkStart w:id="43" w:name="Xee03329c644e4c991b090e98be035267f636b82"/>
    <w:p>
      <w:pPr>
        <w:pStyle w:val="Heading1"/>
      </w:pPr>
      <w:r>
        <w:t xml:space="preserve">Chapter 6: The GI Bill — Two Americas Built on One Law (1944)</w:t>
      </w:r>
    </w:p>
    <w:p>
      <w:pPr>
        <w:pStyle w:val="FirstParagraph"/>
      </w:pPr>
      <w:r>
        <w:t xml:space="preserve">The Servicemen’s Readjustment Act of 1944 — the GI Bill — is the single most consequential piece of social legislation in American history. It provided returning veterans with college tuition, vocational training, low-interest home loans, and unemployment insurance. 7.8 million veterans used the education benefits. 4.3 million used the home loan guarantee.</w:t>
      </w:r>
    </w:p>
    <w:p>
      <w:pPr>
        <w:pStyle w:val="BodyText"/>
      </w:pPr>
      <w:r>
        <w:t xml:space="preserve">The law was race-neutral on paper. Its administration was not.</w:t>
      </w:r>
    </w:p>
    <w:bookmarkStart w:id="40" w:name="education"/>
    <w:p>
      <w:pPr>
        <w:pStyle w:val="Heading2"/>
      </w:pPr>
      <w:r>
        <w:t xml:space="preserve">6.1 — Education</w:t>
      </w:r>
    </w:p>
    <w:p>
      <w:pPr>
        <w:pStyle w:val="FirstParagraph"/>
      </w:pPr>
      <w:r>
        <w:t xml:space="preserve">GI Bill education benefits were administered by the Veterans Administration but disbursed through colleges and universities. In the South — where the majority of Black veterans lived — public universities were segregated. Historically Black Colleges and Universities (HBCUs) were overwhelmed: by 1947, over 70,000 Black veterans applied to HBCUs that had capacity for approximately 35,000 total students.</w:t>
      </w:r>
    </w:p>
    <w:p>
      <w:pPr>
        <w:pStyle w:val="BodyText"/>
      </w:pPr>
      <w:r>
        <w:t xml:space="preserve">White veterans attended flagship state universities with expanding facilities funded by the GI Bill influx. Black veterans were turned away from those same universities by law and could not find seats at underfunded HBCUs. The result: 28% of white veterans used GI Bill education benefits compared to 12% of Black veterans. The college degree gap that exists today traces directly to this disparity.</w:t>
      </w:r>
    </w:p>
    <w:bookmarkEnd w:id="40"/>
    <w:bookmarkStart w:id="41" w:name="homeownership"/>
    <w:p>
      <w:pPr>
        <w:pStyle w:val="Heading2"/>
      </w:pPr>
      <w:r>
        <w:t xml:space="preserve">6.2 — Homeownership</w:t>
      </w:r>
    </w:p>
    <w:p>
      <w:pPr>
        <w:pStyle w:val="FirstParagraph"/>
      </w:pPr>
      <w:r>
        <w:t xml:space="preserve">The GI Bill’s home loan guarantee was administered through private banks. The same banks that used FHA redlining maps to deny mortgages in Black neighborhoods used those same maps to deny GI Bill home loans. The VA did not require banks to lend without discrimination. The VA deferred to local banking practices. Local banking practices were redlining.</w:t>
      </w:r>
    </w:p>
    <w:p>
      <w:pPr>
        <w:pStyle w:val="BodyText"/>
      </w:pPr>
      <w:r>
        <w:t xml:space="preserve">In 1950, the VA reported that of 67,000 mortgages insured under the GI Bill in the Mississippi Valley region, fewer than 100 went to non-white veterans. The GI Bill built Levittown. It built the suburbs. It built the asset base of the white middle class. It did this with the explicit exclusion of the Black veterans who had earned the same benefit.</w:t>
      </w:r>
    </w:p>
    <w:bookmarkEnd w:id="41"/>
    <w:bookmarkStart w:id="42" w:name="the-wealth-effect"/>
    <w:p>
      <w:pPr>
        <w:pStyle w:val="Heading2"/>
      </w:pPr>
      <w:r>
        <w:t xml:space="preserve">6.3 — The Wealth Effect</w:t>
      </w:r>
    </w:p>
    <w:p>
      <w:pPr>
        <w:pStyle w:val="FirstParagraph"/>
      </w:pPr>
      <w:r>
        <w:t xml:space="preserve">A 2017 study by the National Bureau of Economic Research estimated that the GI Bill increased white household wealth by an average of $12,000 in 1970 dollars — approximately $95,000 in 2024 dollars. The same study found no statistically significant wealth effect for Black veterans, because the benefits were systematically denied or diminished.</w:t>
      </w:r>
    </w:p>
    <w:p>
      <w:pPr>
        <w:pStyle w:val="BodyText"/>
      </w:pPr>
      <w:r>
        <w:t xml:space="preserve">The GI Bill created an estimated $4–6 trillion in wealth for white families between 1944 and 2000 (through homeownership appreciation, education-driven income growth, and intergenerational transfer). The Black share of this wealth creation was near zero.</w:t>
      </w:r>
    </w:p>
    <w:p>
      <w:pPr>
        <w:pStyle w:val="BodyText"/>
      </w:pPr>
      <w:r>
        <w:t xml:space="preserve">One law. Race-neutral text. Discriminatory administration. Trillions of dollars in wealth difference. This is the architecture.</w:t>
      </w:r>
    </w:p>
    <w:bookmarkEnd w:id="42"/>
    <w:bookmarkEnd w:id="43"/>
    <w:bookmarkStart w:id="45" w:name="X8cddbbe61a0249d91dffcc49438890423e549e5"/>
    <w:p>
      <w:pPr>
        <w:pStyle w:val="Heading1"/>
      </w:pPr>
      <w:r>
        <w:t xml:space="preserve">Chapter 7: Levittown and the Suburban Color Line (1947–1960)</w:t>
      </w:r>
    </w:p>
    <w:p>
      <w:pPr>
        <w:pStyle w:val="FirstParagraph"/>
      </w:pPr>
      <w:r>
        <w:t xml:space="preserve">William Levitt built 17,447 homes in the first Levittown (Long Island, New York) between 1947 and 1951. Every buyer was white. This was not informal. The original lease agreements included a clause:</w:t>
      </w:r>
      <w:r>
        <w:t xml:space="preserve"> </w:t>
      </w:r>
      <w:r>
        <w:t xml:space="preserve">“</w:t>
      </w:r>
      <w:r>
        <w:t xml:space="preserve">The tenant agrees not to permit the premises to be used or occupied by any person other than members of the Caucasian race.</w:t>
      </w:r>
      <w:r>
        <w:t xml:space="preserve">”</w:t>
      </w:r>
    </w:p>
    <w:p>
      <w:pPr>
        <w:pStyle w:val="BodyText"/>
      </w:pPr>
      <w:r>
        <w:t xml:space="preserve">Levittown homes sold for $7,990 in 1947 — approximately $110,000 in 2024 dollars. By 2024, the median home value in Levittown, NY was approximately $575,000. A white family that purchased a Levittown home in 1947 saw their $7,990 investment grow to $575,000 — a 72x return over 77 years. Black families were contractually excluded from making this investment.</w:t>
      </w:r>
    </w:p>
    <w:p>
      <w:pPr>
        <w:pStyle w:val="BodyText"/>
      </w:pPr>
      <w:r>
        <w:t xml:space="preserve">Levittown was not unique. It was the model. The postwar suburban development pattern — FHA-insured, VA-guaranteed, racially restricted — was replicated in every metropolitan area in the country. The suburbs were not just white by custom. They were white by contract, by policy, by law, and by federal subsidy.</w:t>
      </w:r>
    </w:p>
    <w:bookmarkStart w:id="44" w:name="the-homeownership-gap"/>
    <w:p>
      <w:pPr>
        <w:pStyle w:val="Heading2"/>
      </w:pPr>
      <w:r>
        <w:t xml:space="preserve">7.1 — The Homeownership Gap</w:t>
      </w:r>
    </w:p>
    <w:p>
      <w:pPr>
        <w:pStyle w:val="FirstParagraph"/>
      </w:pPr>
      <w:r>
        <w:t xml:space="preserve">Source: U.S. Census Bureau, Housing Vacancies and Homeownership (CPS/HVS). Note that the gap is wider in 2024 (30 points) than it was in 1940 (23 points). Ninety-five years of policy have widened the homeownership gap, not narrowed it.</w:t>
      </w:r>
    </w:p>
    <w:bookmarkEnd w:id="44"/>
    <w:bookmarkEnd w:id="45"/>
    <w:bookmarkStart w:id="46" w:name="X0bafeffc0abe3d0ae1b5d0c7fa4d33ff168d707"/>
    <w:p>
      <w:pPr>
        <w:pStyle w:val="Heading1"/>
      </w:pPr>
      <w:r>
        <w:t xml:space="preserve">Chapter 8: Brown, Montgomery, and the Economics of Resistance (1954–1956)</w:t>
      </w:r>
    </w:p>
    <w:p>
      <w:pPr>
        <w:pStyle w:val="FirstParagraph"/>
      </w:pPr>
      <w:r>
        <w:t xml:space="preserve">Brown v. Board of Education (1954) declared segregated public schools unconstitutional. The Montgomery Bus Boycott (1955–1956) demonstrated the economic power of Black consumers. Both victories were real. Neither closed the wage gap.</w:t>
      </w:r>
    </w:p>
    <w:p>
      <w:pPr>
        <w:pStyle w:val="BodyText"/>
      </w:pPr>
      <w:r>
        <w:t xml:space="preserve">Brown led to decades of resistance.</w:t>
      </w:r>
      <w:r>
        <w:t xml:space="preserve"> </w:t>
      </w:r>
      <w:r>
        <w:t xml:space="preserve">“</w:t>
      </w:r>
      <w:r>
        <w:t xml:space="preserve">Massive resistance</w:t>
      </w:r>
      <w:r>
        <w:t xml:space="preserve">”</w:t>
      </w:r>
      <w:r>
        <w:t xml:space="preserve"> </w:t>
      </w:r>
      <w:r>
        <w:t xml:space="preserve">in the South included school closures (Prince Edward County, Virginia closed its public schools for five years rather than integrate), tuition grants for white students to attend private</w:t>
      </w:r>
      <w:r>
        <w:t xml:space="preserve"> </w:t>
      </w:r>
      <w:r>
        <w:t xml:space="preserve">“</w:t>
      </w:r>
      <w:r>
        <w:t xml:space="preserve">seg academies,</w:t>
      </w:r>
      <w:r>
        <w:t xml:space="preserve">”</w:t>
      </w:r>
      <w:r>
        <w:t xml:space="preserve"> </w:t>
      </w:r>
      <w:r>
        <w:t xml:space="preserve">and systematic underfunding of integrated schools.</w:t>
      </w:r>
    </w:p>
    <w:p>
      <w:pPr>
        <w:pStyle w:val="BodyText"/>
      </w:pPr>
      <w:r>
        <w:t xml:space="preserve">The economic dimension of resistance is underexamined. White flight from integrated school districts moved tax base to suburbs, defunding urban schools. The quality of education available to Black students declined in many areas after Brown, because the resources followed the white students who left. Integration without equitable funding is desegregation on paper and resegregation in practice.</w:t>
      </w:r>
    </w:p>
    <w:p>
      <w:pPr>
        <w:pStyle w:val="BodyText"/>
      </w:pPr>
      <w:r>
        <w:t xml:space="preserve">The Montgomery boycott cost the city’s bus system an estimated $750,000 over 381 days (approximately $8.5 million in 2024 dollars). It demonstrated that the Black community’s consumer spending was economically significant — and that withdrawing it could force structural change. But consumer leverage is not the same as wealth. The boycotters walked to work because they couldn’t afford the political cost of driving. The economic victory was extracted from economic hardship.</w:t>
      </w:r>
    </w:p>
    <w:bookmarkEnd w:id="46"/>
    <w:bookmarkStart w:id="50" w:name="X5e88203381c9be70735de8995225fe598a1bb07"/>
    <w:p>
      <w:pPr>
        <w:pStyle w:val="Heading1"/>
      </w:pPr>
      <w:r>
        <w:t xml:space="preserve">Chapter 9: Equal Pay Act and Civil Rights Act (1963–1964)</w:t>
      </w:r>
    </w:p>
    <w:p>
      <w:pPr>
        <w:pStyle w:val="FirstParagraph"/>
      </w:pPr>
      <w:r>
        <w:t xml:space="preserve">The Equal Pay Act of 1963 prohibited gender-based wage discrimination for substantially similar work. The Civil Rights Act of 1964, Title VII, prohibited employment discrimination based on race, color, religion, sex, or national origin. Together, these laws should have closed the wage gap. They did not.</w:t>
      </w:r>
    </w:p>
    <w:bookmarkStart w:id="47" w:name="the-equal-pay-act"/>
    <w:p>
      <w:pPr>
        <w:pStyle w:val="Heading2"/>
      </w:pPr>
      <w:r>
        <w:t xml:space="preserve">9.1 — The Equal Pay Act</w:t>
      </w:r>
    </w:p>
    <w:p>
      <w:pPr>
        <w:pStyle w:val="FirstParagraph"/>
      </w:pPr>
      <w:r>
        <w:t xml:space="preserve">In 1963, women earned 59 cents for every dollar earned by men. The Equal Pay Act was narrow: it applied only to</w:t>
      </w:r>
      <w:r>
        <w:t xml:space="preserve"> </w:t>
      </w:r>
      <w:r>
        <w:t xml:space="preserve">“</w:t>
      </w:r>
      <w:r>
        <w:t xml:space="preserve">equal work on jobs the performance of which requires equal skill, effort, and responsibility.</w:t>
      </w:r>
      <w:r>
        <w:t xml:space="preserve">”</w:t>
      </w:r>
      <w:r>
        <w:t xml:space="preserve"> </w:t>
      </w:r>
      <w:r>
        <w:t xml:space="preserve">Employers responded by giving slightly different job titles to women doing the same work.</w:t>
      </w:r>
      <w:r>
        <w:t xml:space="preserve"> </w:t>
      </w:r>
      <w:r>
        <w:t xml:space="preserve">“</w:t>
      </w:r>
      <w:r>
        <w:t xml:space="preserve">Administrative assistant</w:t>
      </w:r>
      <w:r>
        <w:t xml:space="preserve">”</w:t>
      </w:r>
      <w:r>
        <w:t xml:space="preserve"> </w:t>
      </w:r>
      <w:r>
        <w:t xml:space="preserve">(female, lower paid) vs. </w:t>
      </w:r>
      <w:r>
        <w:t xml:space="preserve">“</w:t>
      </w:r>
      <w:r>
        <w:t xml:space="preserve">Administrative coordinator</w:t>
      </w:r>
      <w:r>
        <w:t xml:space="preserve">”</w:t>
      </w:r>
      <w:r>
        <w:t xml:space="preserve"> </w:t>
      </w:r>
      <w:r>
        <w:t xml:space="preserve">(male, higher paid). The law attacked the symptom without addressing the architecture: occupational segregation, hiring discrimination, and promotion ceilings.</w:t>
      </w:r>
    </w:p>
    <w:p>
      <w:pPr>
        <w:pStyle w:val="BodyText"/>
      </w:pPr>
      <w:r>
        <w:t xml:space="preserve">By 2024, women earn 83.6 cents per dollar. It took 61 years to close 24.6 cents of a 41-cent gap. At this rate of convergence, the gender wage gap will close in approximately 2073 — 110 years after the law was passed.</w:t>
      </w:r>
    </w:p>
    <w:bookmarkEnd w:id="47"/>
    <w:bookmarkStart w:id="48" w:name="the-civil-rights-act"/>
    <w:p>
      <w:pPr>
        <w:pStyle w:val="Heading2"/>
      </w:pPr>
      <w:r>
        <w:t xml:space="preserve">9.2 — The Civil Rights Act</w:t>
      </w:r>
    </w:p>
    <w:p>
      <w:pPr>
        <w:pStyle w:val="FirstParagraph"/>
      </w:pPr>
      <w:r>
        <w:t xml:space="preserve">Title VII created the Equal Employment Opportunity Commission (EEOC) to investigate complaints of employment discrimination. The EEOC was initially given no enforcement power — it could investigate, conciliate, and recommend. It could not sue. Enforcement power was not granted until the Equal Employment Opportunity Act of 1972.</w:t>
      </w:r>
    </w:p>
    <w:p>
      <w:pPr>
        <w:pStyle w:val="BodyText"/>
      </w:pPr>
      <w:r>
        <w:t xml:space="preserve">For eight years (1964–1972), the federal civil rights enforcement agency for employment had no teeth. Complaints were filed, investigated, and filed away. The median racial income ratio moved from 56% in 1964 to 61% in 1972 — five percentage points in eight years, during the most active civil rights enforcement period in American history.</w:t>
      </w:r>
    </w:p>
    <w:bookmarkEnd w:id="48"/>
    <w:bookmarkStart w:id="49" w:name="the-persistence-of-the-gap"/>
    <w:p>
      <w:pPr>
        <w:pStyle w:val="Heading2"/>
      </w:pPr>
      <w:r>
        <w:t xml:space="preserve">9.3 — The Persistence of the Gap</w:t>
      </w:r>
    </w:p>
    <w:p>
      <w:pPr>
        <w:pStyle w:val="FirstParagraph"/>
      </w:pPr>
      <w:r>
        <w:t xml:space="preserve">The table reveals the pattern: laws pass, the gap narrows slightly, then stalls. The structural architecture — residential segregation, occupational segregation, educational inequity, wealth accumulation exclusion — was not addressed by the laws. The laws prohibited the most visible forms of discrimination. The invisible forms continued.</w:t>
      </w:r>
    </w:p>
    <w:bookmarkEnd w:id="49"/>
    <w:bookmarkEnd w:id="50"/>
    <w:bookmarkStart w:id="53" w:name="Xe5dc9753b56ba1cbe28f9fa9e418241268ed205"/>
    <w:p>
      <w:pPr>
        <w:pStyle w:val="Heading1"/>
      </w:pPr>
      <w:r>
        <w:t xml:space="preserve">Chapter 10: The Kerner Commission — Two Societies (1968)</w:t>
      </w:r>
    </w:p>
    <w:p>
      <w:pPr>
        <w:pStyle w:val="FirstParagraph"/>
      </w:pPr>
      <w:r>
        <w:t xml:space="preserve">After the long hot summers of 1965–1967 — urban uprisings in Watts, Newark, Detroit, and dozens of other cities — President Lyndon Johnson appointed the National Advisory Commission on Civil Disorders, chaired by Illinois Governor Otto Kerner. The commission’s report, released February 29, 1968, included what may be the most famous sentence in American social policy:</w:t>
      </w:r>
    </w:p>
    <w:p>
      <w:pPr>
        <w:pStyle w:val="BodyText"/>
      </w:pPr>
      <w:r>
        <w:rPr>
          <w:iCs/>
          <w:i/>
        </w:rPr>
        <w:t xml:space="preserve">Our nation is moving toward two societies, one black, one white — separate and unequal.</w:t>
      </w:r>
    </w:p>
    <w:p>
      <w:pPr>
        <w:pStyle w:val="BodyText"/>
      </w:pPr>
      <w:r>
        <w:t xml:space="preserve">The Kerner Report identified specific structural causes: residential segregation enforced by federal policy, employment discrimination perpetuated by union exclusion and hiring practices, underfunded schools in Black communities, inadequate social services, and a criminal justice system that functioned as an occupying force in Black neighborhoods.</w:t>
      </w:r>
    </w:p>
    <w:bookmarkStart w:id="51" w:name="the-recommendations"/>
    <w:p>
      <w:pPr>
        <w:pStyle w:val="Heading2"/>
      </w:pPr>
      <w:r>
        <w:t xml:space="preserve">10.1 — The Recommendations</w:t>
      </w:r>
    </w:p>
    <w:p>
      <w:pPr>
        <w:pStyle w:val="FirstParagraph"/>
      </w:pPr>
      <w:r>
        <w:t xml:space="preserve">The commission recommended massive federal investment in housing, education, employment, and social services for urban Black communities. It recommended desegregation of suburbs, reform of welfare, and restructuring of police-community relations. Total estimated cost: approximately $30 billion per year ($260 billion in 2024 dollars).</w:t>
      </w:r>
    </w:p>
    <w:p>
      <w:pPr>
        <w:pStyle w:val="BodyText"/>
      </w:pPr>
      <w:r>
        <w:t xml:space="preserve">None of the major recommendations were implemented. Johnson, facing Vietnam War costs and political opposition, shelved the report. Nixon, elected in 1968, ran on a</w:t>
      </w:r>
      <w:r>
        <w:t xml:space="preserve"> </w:t>
      </w:r>
      <w:r>
        <w:t xml:space="preserve">“</w:t>
      </w:r>
      <w:r>
        <w:t xml:space="preserve">law and order</w:t>
      </w:r>
      <w:r>
        <w:t xml:space="preserve">”</w:t>
      </w:r>
      <w:r>
        <w:t xml:space="preserve"> </w:t>
      </w:r>
      <w:r>
        <w:t xml:space="preserve">platform that treated the uprisings as criminal behavior rather than as responses to structural conditions. The Kerner Commission diagnosed the disease. The political system treated the symptoms and punished the patients.</w:t>
      </w:r>
    </w:p>
    <w:bookmarkEnd w:id="51"/>
    <w:bookmarkStart w:id="52" w:name="the-numbers-the-kerner-commission-found"/>
    <w:p>
      <w:pPr>
        <w:pStyle w:val="Heading2"/>
      </w:pPr>
      <w:r>
        <w:t xml:space="preserve">10.2 — The Numbers the Kerner Commission Found</w:t>
      </w:r>
    </w:p>
    <w:p>
      <w:pPr>
        <w:pStyle w:val="FirstParagraph"/>
      </w:pPr>
      <w:r>
        <w:t xml:space="preserve">In 1968, the commission documented: Black unemployment was twice white unemployment (the same ratio as 2026). Black median family income was 58% of white median family income. 40% of Black families lived below the poverty line. Black infant mortality was twice white infant mortality. Life expectancy for Black Americans was 7 years shorter than for white Americans.</w:t>
      </w:r>
    </w:p>
    <w:p>
      <w:pPr>
        <w:pStyle w:val="BodyText"/>
      </w:pPr>
      <w:r>
        <w:t xml:space="preserve">In 2026: Black unemployment is 1.7x white unemployment. Black median household income is approximately 64% of white median household income. 18% of Black families live below the poverty line (vs. 8% white). Black infant mortality is 2.3x white infant mortality. Life expectancy gap: 4.8 years (74.8 vs. 79.6).</w:t>
      </w:r>
    </w:p>
    <w:p>
      <w:pPr>
        <w:pStyle w:val="BodyText"/>
      </w:pPr>
      <w:r>
        <w:t xml:space="preserve">In 58 years since the Kerner Report, the income ratio improved from 58% to 64% — six percentage points. At this rate, income parity will be reached approximately never. The unemployment ratio has barely changed. Infant mortality has worsened relatively. The commission said</w:t>
      </w:r>
      <w:r>
        <w:t xml:space="preserve"> </w:t>
      </w:r>
      <w:r>
        <w:t xml:space="preserve">“</w:t>
      </w:r>
      <w:r>
        <w:t xml:space="preserve">two societies.</w:t>
      </w:r>
      <w:r>
        <w:t xml:space="preserve">”</w:t>
      </w:r>
      <w:r>
        <w:t xml:space="preserve"> </w:t>
      </w:r>
      <w:r>
        <w:t xml:space="preserve">The data says: still two societies.</w:t>
      </w:r>
    </w:p>
    <w:p>
      <w:pPr>
        <w:pStyle w:val="BodyText"/>
      </w:pPr>
      <w:r>
        <w:rPr>
          <w:bCs/>
          <w:b/>
        </w:rPr>
        <w:t xml:space="preserve">PART III</w:t>
      </w:r>
    </w:p>
    <w:p>
      <w:pPr>
        <w:pStyle w:val="BodyText"/>
      </w:pPr>
      <w:r>
        <w:t xml:space="preserve">THE STALL (1968–1990)</w:t>
      </w:r>
    </w:p>
    <w:p>
      <w:pPr>
        <w:pStyle w:val="BodyText"/>
      </w:pPr>
      <w:r>
        <w:rPr>
          <w:iCs/>
          <w:i/>
        </w:rPr>
        <w:t xml:space="preserve">The civil rights laws changed what was legal. They did not change what was profitable. The gap found new architecture.</w:t>
      </w:r>
    </w:p>
    <w:bookmarkEnd w:id="52"/>
    <w:bookmarkEnd w:id="53"/>
    <w:bookmarkStart w:id="55" w:name="Xc475de674b88c3fe17c68456fbcd4f52e94829b"/>
    <w:p>
      <w:pPr>
        <w:pStyle w:val="Heading1"/>
      </w:pPr>
      <w:r>
        <w:t xml:space="preserve">Chapter 11: Nixon, Philadelphia, and Affirmative Action (1969–1978)</w:t>
      </w:r>
    </w:p>
    <w:p>
      <w:pPr>
        <w:pStyle w:val="FirstParagraph"/>
      </w:pPr>
      <w:r>
        <w:t xml:space="preserve">Richard Nixon, elected on a</w:t>
      </w:r>
      <w:r>
        <w:t xml:space="preserve"> </w:t>
      </w:r>
      <w:r>
        <w:t xml:space="preserve">“</w:t>
      </w:r>
      <w:r>
        <w:t xml:space="preserve">law and order</w:t>
      </w:r>
      <w:r>
        <w:t xml:space="preserve">”</w:t>
      </w:r>
      <w:r>
        <w:t xml:space="preserve"> </w:t>
      </w:r>
      <w:r>
        <w:t xml:space="preserve">platform in 1968, implemented the most significant affirmative action program in American history. This is not a paradox. It is strategy.</w:t>
      </w:r>
    </w:p>
    <w:p>
      <w:pPr>
        <w:pStyle w:val="BodyText"/>
      </w:pPr>
      <w:r>
        <w:t xml:space="preserve">The Philadelphia Plan (1969), developed by Labor Department official Arthur Fletcher, required federal contractors in Philadelphia’s construction industry to set specific goals for minority hiring. It was the first federal program to use numerical targets for racial inclusion in employment. Nixon supported it not out of racial justice but to drive a wedge between two Democratic constituencies: organized labor (which opposed minority hiring quotas) and Black voters (who supported them).</w:t>
      </w:r>
    </w:p>
    <w:p>
      <w:pPr>
        <w:pStyle w:val="BodyText"/>
      </w:pPr>
      <w:r>
        <w:t xml:space="preserve">The Philadelphia Plan worked. Black participation in Philadelphia’s construction unions increased from under 1% to approximately 12% within five years. The concept expanded nationally through Executive Order 11246, requiring all federal contractors to take</w:t>
      </w:r>
      <w:r>
        <w:t xml:space="preserve"> </w:t>
      </w:r>
      <w:r>
        <w:t xml:space="preserve">“</w:t>
      </w:r>
      <w:r>
        <w:t xml:space="preserve">affirmative action</w:t>
      </w:r>
      <w:r>
        <w:t xml:space="preserve">”</w:t>
      </w:r>
      <w:r>
        <w:t xml:space="preserve"> </w:t>
      </w:r>
      <w:r>
        <w:t xml:space="preserve">to ensure non-discriminatory employment.</w:t>
      </w:r>
    </w:p>
    <w:bookmarkStart w:id="54" w:name="the-bakke-decision-1978"/>
    <w:p>
      <w:pPr>
        <w:pStyle w:val="Heading2"/>
      </w:pPr>
      <w:r>
        <w:t xml:space="preserve">11.1 — The Bakke Decision (1978)</w:t>
      </w:r>
    </w:p>
    <w:p>
      <w:pPr>
        <w:pStyle w:val="FirstParagraph"/>
      </w:pPr>
      <w:r>
        <w:t xml:space="preserve">Regents of the University of California v. Bakke (1978) was the first Supreme Court case to address affirmative action in university admissions. Allan Bakke, a white applicant denied admission to UC Davis Medical School, argued that the school’s reservation of 16 seats (out of 100) for minority students violated the Equal Protection Clause.</w:t>
      </w:r>
    </w:p>
    <w:p>
      <w:pPr>
        <w:pStyle w:val="BodyText"/>
      </w:pPr>
      <w:r>
        <w:t xml:space="preserve">The Court split: Justice Powell’s deciding opinion struck down rigid racial quotas but permitted race as one factor among many in admissions. This compromise — race-conscious but not race-determinative — governed affirmative action for 45 years until Students for Fair Admissions v. Harvard (2023) effectively ended race-conscious admissions.</w:t>
      </w:r>
    </w:p>
    <w:p>
      <w:pPr>
        <w:pStyle w:val="BodyText"/>
      </w:pPr>
      <w:r>
        <w:t xml:space="preserve">The wage gap during the affirmative action era (1969–1978) narrowed from 61% to 63% for the Black/white income ratio. Two percentage points in nine years. Affirmative action moved the needle, but the needle was heavy and the thread was thin.</w:t>
      </w:r>
    </w:p>
    <w:bookmarkEnd w:id="54"/>
    <w:bookmarkEnd w:id="55"/>
    <w:bookmarkStart w:id="56" w:name="Xef9dd3eb9e4c833a118639ea74f66d43039cf28"/>
    <w:p>
      <w:pPr>
        <w:pStyle w:val="Heading1"/>
      </w:pPr>
      <w:r>
        <w:t xml:space="preserve">Chapter 12: The Equal Rights Amendment That Wasn’t (1972–1982)</w:t>
      </w:r>
    </w:p>
    <w:p>
      <w:pPr>
        <w:pStyle w:val="FirstParagraph"/>
      </w:pPr>
      <w:r>
        <w:t xml:space="preserve">The Equal Rights Amendment, passed by Congress in 1972, stated:</w:t>
      </w:r>
      <w:r>
        <w:t xml:space="preserve"> </w:t>
      </w:r>
      <w:r>
        <w:t xml:space="preserve">“</w:t>
      </w:r>
      <w:r>
        <w:t xml:space="preserve">Equality of rights under the law shall not be denied or abridged by the United States or by any State on account of sex.</w:t>
      </w:r>
      <w:r>
        <w:t xml:space="preserve">”</w:t>
      </w:r>
      <w:r>
        <w:t xml:space="preserve"> </w:t>
      </w:r>
      <w:r>
        <w:t xml:space="preserve">It needed 38 states to ratify. It got 35 by the original 1979 deadline. Congress extended the deadline to 1982. No additional states ratified.</w:t>
      </w:r>
    </w:p>
    <w:p>
      <w:pPr>
        <w:pStyle w:val="BodyText"/>
      </w:pPr>
      <w:r>
        <w:t xml:space="preserve">The ERA’s failure left gender equality without a constitutional foundation. The gender wage gap in 1972 was 57.9 cents per dollar. Without constitutional backing, enforcement of gender pay equity relied on statutory law (the Equal Pay Act, Title VII) which could be and was weakened by hostile courts and underfunded enforcement agencies.</w:t>
      </w:r>
    </w:p>
    <w:p>
      <w:pPr>
        <w:pStyle w:val="BodyText"/>
      </w:pPr>
      <w:r>
        <w:t xml:space="preserve">The practical effect: while the racial income gap showed some convergence during the 1970s (driven by affirmative action and civil rights enforcement), the gender wage gap was essentially frozen at 59–60 cents from 1963 to 1980 — seventeen years of zero progress. The Equal Pay Act existed. The gap didn’t care.</w:t>
      </w:r>
    </w:p>
    <w:p>
      <w:pPr>
        <w:pStyle w:val="BodyText"/>
      </w:pPr>
      <w:r>
        <w:t xml:space="preserve">The ERA was reintroduced in Congress every session from 1982 to 2026. It has never been ratified. Virginia became the 38th state to ratify in 2020, but the deadline had long passed, and legal challenges remain unresolved.</w:t>
      </w:r>
    </w:p>
    <w:bookmarkEnd w:id="56"/>
    <w:bookmarkStart w:id="60" w:name="Xce4944c09c8f44499f461ae3e6423f92542ad22"/>
    <w:p>
      <w:pPr>
        <w:pStyle w:val="Heading1"/>
      </w:pPr>
      <w:r>
        <w:t xml:space="preserve">Chapter 13: Reaganomics — When the Gap Became Policy (1981–1989)</w:t>
      </w:r>
    </w:p>
    <w:p>
      <w:pPr>
        <w:pStyle w:val="FirstParagraph"/>
      </w:pPr>
      <w:r>
        <w:t xml:space="preserve">Ronald Reagan’s economic program — tax cuts concentrated at the top, deregulation, weakened unions, reduced social spending — did not create the wage gap. It accelerated it.</w:t>
      </w:r>
    </w:p>
    <w:bookmarkStart w:id="57" w:name="tax-policy"/>
    <w:p>
      <w:pPr>
        <w:pStyle w:val="Heading2"/>
      </w:pPr>
      <w:r>
        <w:t xml:space="preserve">13.1 — Tax Policy</w:t>
      </w:r>
    </w:p>
    <w:p>
      <w:pPr>
        <w:pStyle w:val="FirstParagraph"/>
      </w:pPr>
      <w:r>
        <w:t xml:space="preserve">The Economic Recovery Tax Act of 1981 cut the top marginal income tax rate from 70% to 50%. The Tax Reform Act of 1986 cut it further to 28%. Capital gains taxes were reduced from 28% to 20%. These cuts disproportionately benefited high-income (disproportionately white) households. The revenue shortfall was offset by cuts to programs that disproportionately served low-income (disproportionately non-white) households: public housing, food assistance, Medicaid, job training.</w:t>
      </w:r>
    </w:p>
    <w:p>
      <w:pPr>
        <w:pStyle w:val="BodyText"/>
      </w:pPr>
      <w:r>
        <w:t xml:space="preserve">The Congressional Budget Office estimated that the combined effect of Reagan-era tax and spending changes transferred approximately $150 billion (in 1980s dollars) from the bottom 80% of the income distribution to the top 20% between 1981 and 1989.</w:t>
      </w:r>
    </w:p>
    <w:bookmarkEnd w:id="57"/>
    <w:bookmarkStart w:id="58" w:name="union-decline"/>
    <w:p>
      <w:pPr>
        <w:pStyle w:val="Heading2"/>
      </w:pPr>
      <w:r>
        <w:t xml:space="preserve">13.2 — Union Decline</w:t>
      </w:r>
    </w:p>
    <w:p>
      <w:pPr>
        <w:pStyle w:val="FirstParagraph"/>
      </w:pPr>
      <w:r>
        <w:t xml:space="preserve">Reagan fired 11,345 striking air traffic controllers (PATCO) on August 5, 1981. The signal to private employers was unmistakable: the federal government would not protect organized labor. Union membership fell from 20.1% of the workforce in 1983 (the first year BLS tracked the modern series) to 16.1% by 1990. By 2024, it was 10.0%.</w:t>
      </w:r>
    </w:p>
    <w:p>
      <w:pPr>
        <w:pStyle w:val="BodyText"/>
      </w:pPr>
      <w:r>
        <w:t xml:space="preserve">Union decline has a direct racial wage effect. The union wage premium — the difference between union and non-union wages for comparable work — is larger for Black workers (approximately 18–20%) than for white workers (approximately 12–14%), because unions compress the wage distribution. As unions declined, the wage floor dropped, and it dropped more for the workers who were already at the bottom.</w:t>
      </w:r>
    </w:p>
    <w:bookmarkEnd w:id="58"/>
    <w:bookmarkStart w:id="59" w:name="the-income-gap-under-reagan"/>
    <w:p>
      <w:pPr>
        <w:pStyle w:val="Heading2"/>
      </w:pPr>
      <w:r>
        <w:t xml:space="preserve">13.3 — The Income Gap Under Reagan</w:t>
      </w:r>
    </w:p>
    <w:p>
      <w:pPr>
        <w:pStyle w:val="FirstParagraph"/>
      </w:pPr>
      <w:r>
        <w:t xml:space="preserve">Source: Census Bureau, Current Population Survey. Nominal dollars. The racial income ratio was flat at 58–59% through the entire Reagan era. The gender ratio improved from 60% to 68% — but this was driven primarily by women entering the workforce in larger numbers (the feminization of the labor force), not by men and women being paid equally for the same work.</w:t>
      </w:r>
    </w:p>
    <w:bookmarkEnd w:id="59"/>
    <w:bookmarkEnd w:id="60"/>
    <w:bookmarkStart w:id="64" w:name="X3a65f5735a418f5f7aacc7765657cb91d2df867"/>
    <w:p>
      <w:pPr>
        <w:pStyle w:val="Heading1"/>
      </w:pPr>
      <w:r>
        <w:t xml:space="preserve">Chapter 14: The War on Drugs as Economic Warfare (1971–1990)</w:t>
      </w:r>
    </w:p>
    <w:p>
      <w:pPr>
        <w:pStyle w:val="FirstParagraph"/>
      </w:pPr>
      <w:r>
        <w:t xml:space="preserve">Nixon declared drugs</w:t>
      </w:r>
      <w:r>
        <w:t xml:space="preserve"> </w:t>
      </w:r>
      <w:r>
        <w:t xml:space="preserve">“</w:t>
      </w:r>
      <w:r>
        <w:t xml:space="preserve">public enemy number one</w:t>
      </w:r>
      <w:r>
        <w:t xml:space="preserve">”</w:t>
      </w:r>
      <w:r>
        <w:t xml:space="preserve"> </w:t>
      </w:r>
      <w:r>
        <w:t xml:space="preserve">in 1971. Reagan escalated in 1982 with the formation of federal drug task forces, mandatory minimum sentencing, and the Anti-Drug Abuse Act of 1986 (which established the 100:1 crack/powder cocaine sentencing disparity). The policy was race-neutral on paper.</w:t>
      </w:r>
    </w:p>
    <w:bookmarkStart w:id="61" w:name="the-sentencing-disparity"/>
    <w:p>
      <w:pPr>
        <w:pStyle w:val="Heading2"/>
      </w:pPr>
      <w:r>
        <w:t xml:space="preserve">14.1 — The Sentencing Disparity</w:t>
      </w:r>
    </w:p>
    <w:p>
      <w:pPr>
        <w:pStyle w:val="FirstParagraph"/>
      </w:pPr>
      <w:r>
        <w:t xml:space="preserve">Under the 1986 law, possession of 5 grams of crack cocaine triggered a mandatory five-year federal sentence. Possession of powder cocaine required 500 grams for the same sentence. Crack and powder cocaine are pharmacologically identical — crack is powder cocaine processed with baking soda. The difference is the user demographic: crack was concentrated in Black urban communities; powder cocaine in white suburban and professional communities.</w:t>
      </w:r>
    </w:p>
    <w:p>
      <w:pPr>
        <w:pStyle w:val="BodyText"/>
      </w:pPr>
      <w:r>
        <w:t xml:space="preserve">The result was predictable and documented. In 1986, Black Americans constituted 12% of the U.S. population, approximately 13% of drug users (National Household Survey on Drug Abuse), and 74% of those sentenced for drug possession. The sentencing disparity was not corrected until the Fair Sentencing Act of 2010, which reduced the ratio from 100:1 to 18:1. It was not fully eliminated.</w:t>
      </w:r>
    </w:p>
    <w:bookmarkEnd w:id="61"/>
    <w:bookmarkStart w:id="62" w:name="the-economic-effect-of-incarceration"/>
    <w:p>
      <w:pPr>
        <w:pStyle w:val="Heading2"/>
      </w:pPr>
      <w:r>
        <w:t xml:space="preserve">14.2 — The Economic Effect of Incarceration</w:t>
      </w:r>
    </w:p>
    <w:p>
      <w:pPr>
        <w:pStyle w:val="FirstParagraph"/>
      </w:pPr>
      <w:r>
        <w:t xml:space="preserve">A felony conviction reduces lifetime earnings by an estimated 40% (Pew Charitable Trusts, 2010). A prison term removes the individual from the labor force entirely during incarceration and creates barriers to employment, housing, and credit after release. The economic damage extends beyond the individual: children of incarcerated parents show lower educational attainment and lower lifetime earnings (National Institute of Justice, 2015).</w:t>
      </w:r>
    </w:p>
    <w:p>
      <w:pPr>
        <w:pStyle w:val="BodyText"/>
      </w:pPr>
      <w:r>
        <w:t xml:space="preserve">Between 1980 and 2000, the incarcerated population in the United States grew from approximately 500,000 to over 2 million. The rate of Black male incarceration reached 3,457 per 100,000 by 2001 (compared to 449 per 100,000 for white males). At any given time during this period, approximately one in three Black men aged 20–29 was under some form of criminal justice supervision (prison, jail, probation, or parole).</w:t>
      </w:r>
    </w:p>
    <w:p>
      <w:pPr>
        <w:pStyle w:val="BodyText"/>
      </w:pPr>
      <w:r>
        <w:t xml:space="preserve">The wage gap is not just about what employers pay. It is about who is available to be paid. Mass incarceration removed millions of working-age Black men from the labor force, depressed wages for those who remained (increased labor supply in low-skill sectors after release drives down wages for everyone in those sectors), and destroyed wealth-building capacity for affected families across generations.</w:t>
      </w:r>
    </w:p>
    <w:bookmarkEnd w:id="62"/>
    <w:bookmarkStart w:id="63" w:name="john-ehrlichmans-admission"/>
    <w:p>
      <w:pPr>
        <w:pStyle w:val="Heading2"/>
      </w:pPr>
      <w:r>
        <w:t xml:space="preserve">14.3 — John Ehrlichman’s Admission</w:t>
      </w:r>
    </w:p>
    <w:p>
      <w:pPr>
        <w:pStyle w:val="FirstParagraph"/>
      </w:pPr>
      <w:r>
        <w:t xml:space="preserve">In a 1994 interview published in 2016 by Harper’s Magazine, John Ehrlichman — Nixon’s domestic policy chief — stated:</w:t>
      </w:r>
    </w:p>
    <w:p>
      <w:pPr>
        <w:pStyle w:val="BodyText"/>
      </w:pPr>
      <w:r>
        <w:rPr>
          <w:iCs/>
          <w:i/>
        </w:rPr>
        <w:t xml:space="preserve">The Nixon campaign in 1968, and the Nixon White House after that, had two enemies: the antiwar left and black people. You understand what I’m saying? We knew we couldn’t make it illegal to be either against the war or black, but by getting the public to associate the hippies with marijuana and blacks with heroin, and then criminalizing both heavily, we could disrupt those communities.</w:t>
      </w:r>
    </w:p>
    <w:p>
      <w:pPr>
        <w:pStyle w:val="BodyText"/>
      </w:pPr>
      <w:r>
        <w:t xml:space="preserve">This is not conspiracy theory. This is a direct statement from the person who designed the policy, explaining its racial intent. The War on Drugs was economic warfare against Black communities. The architect said so.</w:t>
      </w:r>
    </w:p>
    <w:p>
      <w:pPr>
        <w:pStyle w:val="BodyText"/>
      </w:pPr>
      <w:r>
        <w:rPr>
          <w:bCs/>
          <w:b/>
        </w:rPr>
        <w:t xml:space="preserve">PART IV</w:t>
      </w:r>
    </w:p>
    <w:p>
      <w:pPr>
        <w:pStyle w:val="BodyText"/>
      </w:pPr>
      <w:r>
        <w:t xml:space="preserve">THE ACCELERATION (1990–2008)</w:t>
      </w:r>
    </w:p>
    <w:p>
      <w:pPr>
        <w:pStyle w:val="BodyText"/>
      </w:pPr>
      <w:r>
        <w:rPr>
          <w:iCs/>
          <w:i/>
        </w:rPr>
        <w:t xml:space="preserve">The gap did not just persist. It found new mechanisms. The architecture evolved. The outcome was the same.</w:t>
      </w:r>
    </w:p>
    <w:bookmarkEnd w:id="63"/>
    <w:bookmarkEnd w:id="64"/>
    <w:bookmarkStart w:id="68" w:name="X6bde36f3064b7781fb2d3dd20e0b698442e8604"/>
    <w:p>
      <w:pPr>
        <w:pStyle w:val="Heading1"/>
      </w:pPr>
      <w:r>
        <w:t xml:space="preserve">Chapter 15: NAFTA, Welfare Reform, and the New Economy (1993–1996)</w:t>
      </w:r>
    </w:p>
    <w:p>
      <w:pPr>
        <w:pStyle w:val="FirstParagraph"/>
      </w:pPr>
      <w:r>
        <w:t xml:space="preserve">The 1990s brought three structural changes that reshaped the wage gap: trade liberalization, welfare reform, and the transition to a service/knowledge economy.</w:t>
      </w:r>
    </w:p>
    <w:bookmarkStart w:id="65" w:name="nafta-1994"/>
    <w:p>
      <w:pPr>
        <w:pStyle w:val="Heading2"/>
      </w:pPr>
      <w:r>
        <w:t xml:space="preserve">15.1 — NAFTA (1994)</w:t>
      </w:r>
    </w:p>
    <w:p>
      <w:pPr>
        <w:pStyle w:val="FirstParagraph"/>
      </w:pPr>
      <w:r>
        <w:t xml:space="preserve">The North American Free Trade Agreement eliminated tariffs between the US, Canada, and Mexico. Manufacturing jobs moved to lower-wage Mexican facilities. The Economic Policy Institute estimated that NAFTA displaced approximately 680,000 U.S. jobs by 2010, disproportionately in manufacturing sectors where Black workers had made significant gains since World War II.</w:t>
      </w:r>
    </w:p>
    <w:p>
      <w:pPr>
        <w:pStyle w:val="BodyText"/>
      </w:pPr>
      <w:r>
        <w:t xml:space="preserve">The Black manufacturing employment share fell from 23% in 1979 to 10% by 2007. The loss was not simply jobs — it was the specific type of job that had historically provided the best wages for Black workers without college degrees: unionized manufacturing with benefits, pensions, and career ladders. The jobs that replaced them — retail, food service, warehouse work — paid less, offered fewer benefits, and had no pension.</w:t>
      </w:r>
    </w:p>
    <w:bookmarkEnd w:id="65"/>
    <w:bookmarkStart w:id="66" w:name="welfare-reform-1996"/>
    <w:p>
      <w:pPr>
        <w:pStyle w:val="Heading2"/>
      </w:pPr>
      <w:r>
        <w:t xml:space="preserve">15.2 — Welfare Reform (1996)</w:t>
      </w:r>
    </w:p>
    <w:p>
      <w:pPr>
        <w:pStyle w:val="FirstParagraph"/>
      </w:pPr>
      <w:r>
        <w:t xml:space="preserve">The Personal Responsibility and Work Opportunity Reconciliation Act of 1996 replaced Aid to Families with Dependent Children (AFDC) with Temporary Assistance for Needy Families (TANF). The law imposed lifetime limits on benefits (60 months), work requirements, and block grants to states that allowed wide variation in implementation.</w:t>
      </w:r>
    </w:p>
    <w:p>
      <w:pPr>
        <w:pStyle w:val="BodyText"/>
      </w:pPr>
      <w:r>
        <w:t xml:space="preserve">Black families represented 37% of AFDC recipients in 1996. The work requirements pushed recipients into the labor market — but into the lowest-wage sectors with no subsidized childcare, transportation, or training. The poverty rate for Black children fell from 41.5% in 1995 to 30.2% in 2001 (driven by the late-1990s economic boom, not by welfare reform’s structure), but rose again to 38.2% during the 2008 recession, demonstrating that welfare reform had eliminated the safety net without building a floor.</w:t>
      </w:r>
    </w:p>
    <w:bookmarkEnd w:id="66"/>
    <w:bookmarkStart w:id="67" w:name="the-new-economy"/>
    <w:p>
      <w:pPr>
        <w:pStyle w:val="Heading2"/>
      </w:pPr>
      <w:r>
        <w:t xml:space="preserve">15.3 — The New Economy</w:t>
      </w:r>
    </w:p>
    <w:p>
      <w:pPr>
        <w:pStyle w:val="FirstParagraph"/>
      </w:pPr>
      <w:r>
        <w:t xml:space="preserve">The technology boom of the late 1990s created enormous wealth — concentrated in sectors and geographies where Black workers were underrepresented. The technology workforce was (and remains) approximately 7–8% Black compared to 13% of the general population. The wealth created by the dotcom era flowed disproportionately to white workers, white-dominated regions (San Francisco, Seattle, Austin), and white-owned companies.</w:t>
      </w:r>
    </w:p>
    <w:p>
      <w:pPr>
        <w:pStyle w:val="BodyText"/>
      </w:pPr>
      <w:r>
        <w:t xml:space="preserve">The late 1990s showed the fastest wage growth for all groups since the 1960s. The racial income ratio reached 65% by 2000 — the highest in American history. But the technology sector’s wealth creation was so concentrated in white-dominated sectors that the wealth gap actually widened during the same period that the income gap narrowed.</w:t>
      </w:r>
    </w:p>
    <w:bookmarkEnd w:id="67"/>
    <w:bookmarkEnd w:id="68"/>
    <w:bookmarkStart w:id="69" w:name="Xf6ff3b4a73363e4fa1af3f3e3f79b1852eca918"/>
    <w:p>
      <w:pPr>
        <w:pStyle w:val="Heading1"/>
      </w:pPr>
      <w:r>
        <w:t xml:space="preserve">Chapter 16: Mass Incarceration as Wage Suppression (1990–2008)</w:t>
      </w:r>
    </w:p>
    <w:p>
      <w:pPr>
        <w:pStyle w:val="FirstParagraph"/>
      </w:pPr>
      <w:r>
        <w:t xml:space="preserve">The incarcerated population in the United States reached its peak of 2.3 million in 2008. The United States, with 4.2% of the world’s population, held 22% of the world’s prisoners. The racial composition of this population tells the wage gap story:</w:t>
      </w:r>
    </w:p>
    <w:p>
      <w:pPr>
        <w:pStyle w:val="BodyText"/>
      </w:pPr>
      <w:r>
        <w:t xml:space="preserve">Source: Bureau of Justice Statistics, Prisoners in 2008. The Black incarceration rate was 5.6 times the white rate.</w:t>
      </w:r>
    </w:p>
    <w:p>
      <w:pPr>
        <w:pStyle w:val="BodyText"/>
      </w:pPr>
      <w:r>
        <w:t xml:space="preserve">The wage suppression effect of mass incarceration operates through five channels:</w:t>
      </w:r>
    </w:p>
    <w:p>
      <w:pPr>
        <w:pStyle w:val="BodyText"/>
      </w:pPr>
      <w:r>
        <w:rPr>
          <w:bCs/>
          <w:b/>
        </w:rPr>
        <w:t xml:space="preserve">1. Direct removal:</w:t>
      </w:r>
      <w:r>
        <w:rPr>
          <w:bCs/>
          <w:b/>
        </w:rPr>
        <w:t xml:space="preserve"> </w:t>
      </w:r>
      <w:r>
        <w:t xml:space="preserve">2.3 million people removed from the labor force. Disproportionately Black men of prime working age (25–45).</w:t>
      </w:r>
    </w:p>
    <w:p>
      <w:pPr>
        <w:pStyle w:val="BodyText"/>
      </w:pPr>
      <w:r>
        <w:rPr>
          <w:bCs/>
          <w:b/>
        </w:rPr>
        <w:t xml:space="preserve">2. Post-release penalty:</w:t>
      </w:r>
      <w:r>
        <w:rPr>
          <w:bCs/>
          <w:b/>
        </w:rPr>
        <w:t xml:space="preserve"> </w:t>
      </w:r>
      <w:r>
        <w:t xml:space="preserve">40% lifetime earnings reduction. Felony</w:t>
      </w:r>
      <w:r>
        <w:t xml:space="preserve"> </w:t>
      </w:r>
      <w:r>
        <w:t xml:space="preserve">“</w:t>
      </w:r>
      <w:r>
        <w:t xml:space="preserve">ban the box</w:t>
      </w:r>
      <w:r>
        <w:t xml:space="preserve">”</w:t>
      </w:r>
      <w:r>
        <w:t xml:space="preserve"> </w:t>
      </w:r>
      <w:r>
        <w:t xml:space="preserve">barriers to employment.</w:t>
      </w:r>
    </w:p>
    <w:p>
      <w:pPr>
        <w:pStyle w:val="BodyText"/>
      </w:pPr>
      <w:r>
        <w:rPr>
          <w:bCs/>
          <w:b/>
        </w:rPr>
        <w:t xml:space="preserve">3. Wage depression:</w:t>
      </w:r>
      <w:r>
        <w:rPr>
          <w:bCs/>
          <w:b/>
        </w:rPr>
        <w:t xml:space="preserve"> </w:t>
      </w:r>
      <w:r>
        <w:t xml:space="preserve">Formerly incarcerated workers accept lower wages, depressing wages for all workers in affected sectors.</w:t>
      </w:r>
    </w:p>
    <w:p>
      <w:pPr>
        <w:pStyle w:val="BodyText"/>
      </w:pPr>
      <w:r>
        <w:rPr>
          <w:bCs/>
          <w:b/>
        </w:rPr>
        <w:t xml:space="preserve">4. Family destabilization:</w:t>
      </w:r>
      <w:r>
        <w:rPr>
          <w:bCs/>
          <w:b/>
        </w:rPr>
        <w:t xml:space="preserve"> </w:t>
      </w:r>
      <w:r>
        <w:t xml:space="preserve">Children of incarcerated parents show 25–30% lower lifetime earnings (NIJ, 2015).</w:t>
      </w:r>
    </w:p>
    <w:p>
      <w:pPr>
        <w:pStyle w:val="BodyText"/>
      </w:pPr>
      <w:r>
        <w:rPr>
          <w:bCs/>
          <w:b/>
        </w:rPr>
        <w:t xml:space="preserve">5. Community disinvestment:</w:t>
      </w:r>
      <w:r>
        <w:rPr>
          <w:bCs/>
          <w:b/>
        </w:rPr>
        <w:t xml:space="preserve"> </w:t>
      </w:r>
      <w:r>
        <w:t xml:space="preserve">High-incarceration neighborhoods experience reduced economic activity, fewer businesses, lower property values, and diminished tax base for public services.</w:t>
      </w:r>
    </w:p>
    <w:p>
      <w:pPr>
        <w:pStyle w:val="BodyText"/>
      </w:pPr>
      <w:r>
        <w:t xml:space="preserve">The Brennan Center for Justice estimated the total economic cost of mass incarceration at $1.2 trillion annually, including lost wages, lost GDP, and criminal justice system costs. The Black community bears a disproportionate share of this cost.</w:t>
      </w:r>
    </w:p>
    <w:bookmarkEnd w:id="69"/>
    <w:bookmarkStart w:id="73" w:name="X453e21d819a75f555750dd423532ba64d09cacf"/>
    <w:p>
      <w:pPr>
        <w:pStyle w:val="Heading1"/>
      </w:pPr>
      <w:r>
        <w:t xml:space="preserve">Chapter 17: Subprime — The Targeted Destruction of Black Wealth (2000–2008)</w:t>
      </w:r>
    </w:p>
    <w:p>
      <w:pPr>
        <w:pStyle w:val="FirstParagraph"/>
      </w:pPr>
      <w:r>
        <w:t xml:space="preserve">The subprime mortgage crisis is typically narrated as a systemic failure of financial regulation. It was. It was also a targeted extraction of wealth from Black and Hispanic communities.</w:t>
      </w:r>
    </w:p>
    <w:bookmarkStart w:id="70" w:name="the-targeting"/>
    <w:p>
      <w:pPr>
        <w:pStyle w:val="Heading2"/>
      </w:pPr>
      <w:r>
        <w:t xml:space="preserve">17.1 — The Targeting</w:t>
      </w:r>
    </w:p>
    <w:p>
      <w:pPr>
        <w:pStyle w:val="FirstParagraph"/>
      </w:pPr>
      <w:r>
        <w:t xml:space="preserve">Subprime loans — mortgages with higher interest rates, adjustable rates, and prepayment penalties — were marketed disproportionately to Black and Hispanic borrowers. A 2006 study by the Center for Responsible Lending found that Black borrowers were 2.7 times more likely to receive a subprime loan than white borrowers with comparable credit profiles. Hispanic borrowers were 2.0 times more likely.</w:t>
      </w:r>
    </w:p>
    <w:p>
      <w:pPr>
        <w:pStyle w:val="BodyText"/>
      </w:pPr>
      <w:r>
        <w:t xml:space="preserve">This was not driven by creditworthiness. Controlling for income, credit score, loan-to-value ratio, and property type, Black borrowers paid higher interest rates and received worse terms. The National Bureau of Economic Research documented this in a 2010 study:</w:t>
      </w:r>
      <w:r>
        <w:t xml:space="preserve"> </w:t>
      </w:r>
      <w:r>
        <w:t xml:space="preserve">“</w:t>
      </w:r>
      <w:r>
        <w:t xml:space="preserve">The higher incidence of subprime lending in minority neighborhoods is not explained by borrower-specific risk factors.</w:t>
      </w:r>
      <w:r>
        <w:t xml:space="preserve">”</w:t>
      </w:r>
    </w:p>
    <w:p>
      <w:pPr>
        <w:pStyle w:val="BodyText"/>
      </w:pPr>
      <w:r>
        <w:t xml:space="preserve">Wells Fargo loan officers, in a 2012 lawsuit settlement, described internal practices in which subprime loans marketed to Black communities were referred to as</w:t>
      </w:r>
      <w:r>
        <w:t xml:space="preserve"> </w:t>
      </w:r>
      <w:r>
        <w:t xml:space="preserve">“</w:t>
      </w:r>
      <w:r>
        <w:t xml:space="preserve">ghetto loans.</w:t>
      </w:r>
      <w:r>
        <w:t xml:space="preserve">”</w:t>
      </w:r>
      <w:r>
        <w:t xml:space="preserve"> </w:t>
      </w:r>
      <w:r>
        <w:t xml:space="preserve">The targeting was acknowledged, documented, and, for a time, extremely profitable.</w:t>
      </w:r>
    </w:p>
    <w:bookmarkEnd w:id="70"/>
    <w:bookmarkStart w:id="71" w:name="the-devastation"/>
    <w:p>
      <w:pPr>
        <w:pStyle w:val="Heading2"/>
      </w:pPr>
      <w:r>
        <w:t xml:space="preserve">17.2 — The Devastation</w:t>
      </w:r>
    </w:p>
    <w:p>
      <w:pPr>
        <w:pStyle w:val="FirstParagraph"/>
      </w:pPr>
      <w:r>
        <w:t xml:space="preserve">When the housing bubble burst in 2007–2008, subprime borrowers were the first to lose their homes. Between 2005 and 2009, the foreclosure rate for Black homeowners was approximately 7.9%, compared to 4.5% for white homeowners (Center for Responsible Lending, 2010).</w:t>
      </w:r>
    </w:p>
    <w:p>
      <w:pPr>
        <w:pStyle w:val="BodyText"/>
      </w:pPr>
      <w:r>
        <w:t xml:space="preserve">The wealth destruction was catastrophic. Median Black household wealth fell from $19,200 in 2007 to $5,677 in 2010 — a 70% decline. Median white household wealth fell from $192,500 to $113,149 — a 41% decline. The wealth ratio went from 10:1 to 20:1 in three years. Decades of painfully slow convergence were erased in a single economic event.</w:t>
      </w:r>
    </w:p>
    <w:bookmarkEnd w:id="71"/>
    <w:bookmarkStart w:id="72" w:name="the-recovery-that-wasnt"/>
    <w:p>
      <w:pPr>
        <w:pStyle w:val="Heading2"/>
      </w:pPr>
      <w:r>
        <w:t xml:space="preserve">17.3 — The Recovery That Wasn’t</w:t>
      </w:r>
    </w:p>
    <w:p>
      <w:pPr>
        <w:pStyle w:val="FirstParagraph"/>
      </w:pPr>
      <w:r>
        <w:t xml:space="preserve">White household wealth recovered to pre-crisis levels by approximately 2016. Black household wealth did not recover to pre-crisis levels until approximately 2022 — fifteen years after the crash. During those fifteen years, white households were accumulating new wealth on a recovered base while Black households were still rebuilding. The gap widened during the</w:t>
      </w:r>
      <w:r>
        <w:t xml:space="preserve"> </w:t>
      </w:r>
      <w:r>
        <w:t xml:space="preserve">“</w:t>
      </w:r>
      <w:r>
        <w:t xml:space="preserve">recovery</w:t>
      </w:r>
      <w:r>
        <w:t xml:space="preserve">”</w:t>
      </w:r>
      <w:r>
        <w:t xml:space="preserve"> </w:t>
      </w:r>
      <w:r>
        <w:t xml:space="preserve">because recovery arrived on different timelines for different communities.</w:t>
      </w:r>
    </w:p>
    <w:bookmarkEnd w:id="72"/>
    <w:bookmarkEnd w:id="73"/>
    <w:bookmarkStart w:id="76" w:name="X4767ef703b0c2b3f832500f3eb7e9e1e6343578"/>
    <w:p>
      <w:pPr>
        <w:pStyle w:val="Heading1"/>
      </w:pPr>
      <w:r>
        <w:t xml:space="preserve">Chapter 18: The Great Recession — Disparate Devastation (2008–2010)</w:t>
      </w:r>
    </w:p>
    <w:p>
      <w:pPr>
        <w:pStyle w:val="FirstParagraph"/>
      </w:pPr>
      <w:r>
        <w:t xml:space="preserve">The Great Recession was the most severe economic contraction since the Depression. It was not equally severe.</w:t>
      </w:r>
    </w:p>
    <w:bookmarkStart w:id="74" w:name="employment"/>
    <w:p>
      <w:pPr>
        <w:pStyle w:val="Heading2"/>
      </w:pPr>
      <w:r>
        <w:t xml:space="preserve">18.1 — Employment</w:t>
      </w:r>
    </w:p>
    <w:p>
      <w:pPr>
        <w:pStyle w:val="FirstParagraph"/>
      </w:pPr>
      <w:r>
        <w:t xml:space="preserve">The national unemployment rate peaked at 10.0% in October 2009. The Black unemployment rate peaked at 16.8% in March 2010. The Hispanic rate peaked at 13.0%. The white rate peaked at 9.2%. The 2:1 Black-white unemployment ratio held — as it has in every recession since 1960.</w:t>
      </w:r>
    </w:p>
    <w:p>
      <w:pPr>
        <w:pStyle w:val="BodyText"/>
      </w:pPr>
      <w:r>
        <w:t xml:space="preserve">This ratio is one of the most stable findings in labor economics. In good times and bad, Black unemployment is approximately twice white unemployment. The ratio does not narrow in booms or widen in busts. It is structural. It is the architecture.</w:t>
      </w:r>
    </w:p>
    <w:bookmarkEnd w:id="74"/>
    <w:bookmarkStart w:id="75" w:name="wealth-destruction-by-race"/>
    <w:p>
      <w:pPr>
        <w:pStyle w:val="Heading2"/>
      </w:pPr>
      <w:r>
        <w:t xml:space="preserve">18.2 — Wealth Destruction by Race</w:t>
      </w:r>
    </w:p>
    <w:p>
      <w:pPr>
        <w:pStyle w:val="FirstParagraph"/>
      </w:pPr>
      <w:r>
        <w:t xml:space="preserve">Source: Federal Reserve Survey of Consumer Finances. The percentage decline was nearly twice as severe for Black and Hispanic families as for white families. But the absolute numbers tell the deeper story: white families lost $79,000 and still had $113,000. Black families lost $13,500 and had $5,677. Hispanic families lost $17,275 and had $6,325.</w:t>
      </w:r>
    </w:p>
    <w:p>
      <w:pPr>
        <w:pStyle w:val="BodyText"/>
      </w:pPr>
      <w:r>
        <w:t xml:space="preserve">The Great Recession did not create the wealth gap. It revealed how thin the floor was beneath communities that had been systematically excluded from wealth-building mechanisms for 75 years. When the floor gave way, some fell from the tenth story. Others fell from the basement.</w:t>
      </w:r>
    </w:p>
    <w:p>
      <w:pPr>
        <w:pStyle w:val="BodyText"/>
      </w:pPr>
      <w:r>
        <w:rPr>
          <w:bCs/>
          <w:b/>
        </w:rPr>
        <w:t xml:space="preserve">PART V</w:t>
      </w:r>
    </w:p>
    <w:p>
      <w:pPr>
        <w:pStyle w:val="BodyText"/>
      </w:pPr>
      <w:r>
        <w:t xml:space="preserve">THE PRESENT (2010–2026)</w:t>
      </w:r>
    </w:p>
    <w:p>
      <w:pPr>
        <w:pStyle w:val="BodyText"/>
      </w:pPr>
      <w:r>
        <w:rPr>
          <w:iCs/>
          <w:i/>
        </w:rPr>
        <w:t xml:space="preserve">The architecture adapted. The mechanisms changed. The gap did not.</w:t>
      </w:r>
    </w:p>
    <w:bookmarkEnd w:id="75"/>
    <w:bookmarkEnd w:id="76"/>
    <w:bookmarkStart w:id="80" w:name="X9d6f252f708e46a3eb10285a743d52f4a0cdfe7"/>
    <w:p>
      <w:pPr>
        <w:pStyle w:val="Heading1"/>
      </w:pPr>
      <w:r>
        <w:t xml:space="preserve">Chapter 19: Recovery, Gig Work, and the New Precariat (2010–2019)</w:t>
      </w:r>
    </w:p>
    <w:p>
      <w:pPr>
        <w:pStyle w:val="FirstParagraph"/>
      </w:pPr>
      <w:r>
        <w:t xml:space="preserve">The post-2008 recovery was the slowest since World War II and the most unequal. The stock market recovered to pre-crash levels by 2013. The job market did not recover to pre-crash employment levels until 2014. The wealth gap did not recover at all — it widened.</w:t>
      </w:r>
    </w:p>
    <w:bookmarkStart w:id="77" w:name="the-two-track-recovery"/>
    <w:p>
      <w:pPr>
        <w:pStyle w:val="Heading2"/>
      </w:pPr>
      <w:r>
        <w:t xml:space="preserve">19.1 — The Two-Track Recovery</w:t>
      </w:r>
    </w:p>
    <w:p>
      <w:pPr>
        <w:pStyle w:val="FirstParagraph"/>
      </w:pPr>
      <w:r>
        <w:t xml:space="preserve">Asset prices recovered first. Stocks, bonds, and real estate in high-demand markets rebounded strongly. Wage growth lagged behind. Between 2010 and 2019, the S&amp;P 500 tripled. Median household income grew by approximately 15% in inflation-adjusted terms.</w:t>
      </w:r>
    </w:p>
    <w:p>
      <w:pPr>
        <w:pStyle w:val="BodyText"/>
      </w:pPr>
      <w:r>
        <w:t xml:space="preserve">The racial implication: white households hold approximately 90% of stock market wealth. When the recovery was asset-driven, it flowed disproportionately to white households. Black household wealth, concentrated in homeownership (which recovered more slowly, especially in formerly subprime-targeted neighborhoods), lagged behind.</w:t>
      </w:r>
    </w:p>
    <w:bookmarkEnd w:id="77"/>
    <w:bookmarkStart w:id="78" w:name="the-gig-economy"/>
    <w:p>
      <w:pPr>
        <w:pStyle w:val="Heading2"/>
      </w:pPr>
      <w:r>
        <w:t xml:space="preserve">19.2 — The Gig Economy</w:t>
      </w:r>
    </w:p>
    <w:p>
      <w:pPr>
        <w:pStyle w:val="FirstParagraph"/>
      </w:pPr>
      <w:r>
        <w:t xml:space="preserve">Uber (founded 2009), Lyft (2012), DoorDash (2013), Instacart (2012), and the broader</w:t>
      </w:r>
      <w:r>
        <w:t xml:space="preserve"> </w:t>
      </w:r>
      <w:r>
        <w:t xml:space="preserve">“</w:t>
      </w:r>
      <w:r>
        <w:t xml:space="preserve">gig economy</w:t>
      </w:r>
      <w:r>
        <w:t xml:space="preserve">”</w:t>
      </w:r>
      <w:r>
        <w:t xml:space="preserve"> </w:t>
      </w:r>
      <w:r>
        <w:t xml:space="preserve">created a new employment category: independent contractor. Gig workers receive no benefits, no overtime, no employer-matched Social Security, no unemployment insurance, and no minimum wage floor. They bear all risk. The platform bears none.</w:t>
      </w:r>
    </w:p>
    <w:p>
      <w:pPr>
        <w:pStyle w:val="BodyText"/>
      </w:pPr>
      <w:r>
        <w:t xml:space="preserve">Black and Hispanic workers are overrepresented in gig work: approximately 16% of Black workers and 14% of Hispanic workers participate in the gig economy, compared to 10% of white workers (Bureau of Labor Statistics Contingent Worker Supplement, 2017). The gig economy is the 21st-century version of the FLSA agricultural exemption: a class of workers excluded from the protections that other workers receive, and disproportionately non-white.</w:t>
      </w:r>
    </w:p>
    <w:bookmarkEnd w:id="78"/>
    <w:bookmarkStart w:id="79" w:name="the-pre-pandemic-snapshot-2019"/>
    <w:p>
      <w:pPr>
        <w:pStyle w:val="Heading2"/>
      </w:pPr>
      <w:r>
        <w:t xml:space="preserve">19.3 — The Pre-Pandemic Snapshot (2019)</w:t>
      </w:r>
    </w:p>
    <w:p>
      <w:pPr>
        <w:pStyle w:val="FirstParagraph"/>
      </w:pPr>
      <w:r>
        <w:t xml:space="preserve">Source: Census Bureau, Federal Reserve, BLS. In 2019 — before the pandemic, before the racial reckoning, before any disruption — these were the numbers. The income ratio (61%) was essentially unchanged from 1968 (58%). The wealth ratio (12.8%) was worse than 2007 (10:1 = 10%). The unemployment ratio (1.8x) was the same as every year since 1960. The architecture held.</w:t>
      </w:r>
    </w:p>
    <w:bookmarkEnd w:id="79"/>
    <w:bookmarkEnd w:id="80"/>
    <w:bookmarkStart w:id="84" w:name="X5da760e240cf8836bebe79f9cdbc6cb6608a112"/>
    <w:p>
      <w:pPr>
        <w:pStyle w:val="Heading1"/>
      </w:pPr>
      <w:r>
        <w:t xml:space="preserve">Chapter 20: COVID-19 — The Pandemic as X-Ray (2020–2021)</w:t>
      </w:r>
    </w:p>
    <w:p>
      <w:pPr>
        <w:pStyle w:val="FirstParagraph"/>
      </w:pPr>
      <w:r>
        <w:t xml:space="preserve">The pandemic did not create disparities. It illuminated them with lethal clarity.</w:t>
      </w:r>
    </w:p>
    <w:bookmarkStart w:id="81" w:name="mortality"/>
    <w:p>
      <w:pPr>
        <w:pStyle w:val="Heading2"/>
      </w:pPr>
      <w:r>
        <w:t xml:space="preserve">20.1 — Mortality</w:t>
      </w:r>
    </w:p>
    <w:p>
      <w:pPr>
        <w:pStyle w:val="FirstParagraph"/>
      </w:pPr>
      <w:r>
        <w:t xml:space="preserve">Age-adjusted COVID-19 death rates through 2021 (CDC): Black Americans died at 1.7 times the rate of white Americans. Hispanic Americans died at 1.8 times the rate. Native Americans died at 2.1 times the rate. These disparities were driven by occupational exposure (essential workers in low-wage jobs), residential density (housing segregation), pre-existing health conditions (products of healthcare disparities), and reduced access to healthcare and testing.</w:t>
      </w:r>
    </w:p>
    <w:p>
      <w:pPr>
        <w:pStyle w:val="BodyText"/>
      </w:pPr>
      <w:r>
        <w:t xml:space="preserve">The people who died at higher rates were disproportionately the people who had been paid less, housed worse, insured less, and treated later for 90 years of accumulated policy choices. COVID did not create the vulnerability. The architecture created the vulnerability. COVID exploited it.</w:t>
      </w:r>
    </w:p>
    <w:bookmarkEnd w:id="81"/>
    <w:bookmarkStart w:id="82" w:name="employment-1"/>
    <w:p>
      <w:pPr>
        <w:pStyle w:val="Heading2"/>
      </w:pPr>
      <w:r>
        <w:t xml:space="preserve">20.2 — Employment</w:t>
      </w:r>
    </w:p>
    <w:p>
      <w:pPr>
        <w:pStyle w:val="FirstParagraph"/>
      </w:pPr>
      <w:r>
        <w:t xml:space="preserve">Black unemployment spiked to 16.7% in May 2020 (compared to 14.2% for white workers). Black women experienced the highest unemployment of any demographic group: 17.2%. The sectors hardest hit by lockdowns — hospitality, retail, food service, personal care — were sectors with high Black and Hispanic representation.</w:t>
      </w:r>
    </w:p>
    <w:p>
      <w:pPr>
        <w:pStyle w:val="BodyText"/>
      </w:pPr>
      <w:r>
        <w:t xml:space="preserve">The recovery was again two-tracked: knowledge workers (disproportionately white) transitioned to remote work. Service workers (disproportionately non-white) were either laid off or required to work in person at elevated risk. The pandemic divided the economy into people who could work from their living rooms and people who risked their lives in other people’s living rooms.</w:t>
      </w:r>
    </w:p>
    <w:bookmarkEnd w:id="82"/>
    <w:bookmarkStart w:id="83" w:name="wealth"/>
    <w:p>
      <w:pPr>
        <w:pStyle w:val="Heading2"/>
      </w:pPr>
      <w:r>
        <w:t xml:space="preserve">20.3 — Wealth</w:t>
      </w:r>
    </w:p>
    <w:p>
      <w:pPr>
        <w:pStyle w:val="FirstParagraph"/>
      </w:pPr>
      <w:r>
        <w:t xml:space="preserve">Between Q1 2020 and Q4 2021, U.S. household wealth increased by $30 trillion (Federal Reserve). Stock market recovery and home price appreciation drove the increase. The distribution: white households captured approximately 82% of this wealth gain. Black households captured approximately 4%. The pandemic produced a $30 trillion wealth event that overwhelmingly benefited the group that was already wealthiest.</w:t>
      </w:r>
    </w:p>
    <w:bookmarkEnd w:id="83"/>
    <w:bookmarkEnd w:id="84"/>
    <w:bookmarkStart w:id="87" w:name="X72b3a77b62f820fbf539773e1dddcd2d67d0b31"/>
    <w:p>
      <w:pPr>
        <w:pStyle w:val="Heading1"/>
      </w:pPr>
      <w:r>
        <w:t xml:space="preserve">Chapter 21: Algorithmic Inequality — When AI Inherits the Gap (2020–2026)</w:t>
      </w:r>
    </w:p>
    <w:p>
      <w:pPr>
        <w:pStyle w:val="FirstParagraph"/>
      </w:pPr>
      <w:r>
        <w:t xml:space="preserve">Artificial intelligence systems are trained on historical data. Historical data contains the accumulated record of 95 years of discriminatory policy. When an AI system learns from this data, it learns the discrimination.</w:t>
      </w:r>
    </w:p>
    <w:bookmarkStart w:id="85" w:name="hiring-algorithms"/>
    <w:p>
      <w:pPr>
        <w:pStyle w:val="Heading2"/>
      </w:pPr>
      <w:r>
        <w:t xml:space="preserve">21.1 — Hiring Algorithms</w:t>
      </w:r>
    </w:p>
    <w:p>
      <w:pPr>
        <w:pStyle w:val="FirstParagraph"/>
      </w:pPr>
      <w:r>
        <w:t xml:space="preserve">Amazon’s internal AI recruiting tool, developed in 2014 and scrapped in 2018, systematically penalized resumes containing the word</w:t>
      </w:r>
      <w:r>
        <w:t xml:space="preserve"> </w:t>
      </w:r>
      <w:r>
        <w:t xml:space="preserve">“</w:t>
      </w:r>
      <w:r>
        <w:t xml:space="preserve">women’s</w:t>
      </w:r>
      <w:r>
        <w:t xml:space="preserve">”</w:t>
      </w:r>
      <w:r>
        <w:t xml:space="preserve"> </w:t>
      </w:r>
      <w:r>
        <w:t xml:space="preserve">(as in</w:t>
      </w:r>
      <w:r>
        <w:t xml:space="preserve"> </w:t>
      </w:r>
      <w:r>
        <w:t xml:space="preserve">“</w:t>
      </w:r>
      <w:r>
        <w:t xml:space="preserve">women’s chess club</w:t>
      </w:r>
      <w:r>
        <w:t xml:space="preserve">”</w:t>
      </w:r>
      <w:r>
        <w:t xml:space="preserve">) and downgraded graduates of all-women’s colleges. The system had been trained on Amazon’s hiring data from the previous 10 years — a period in which Amazon’s technical workforce was predominantly male. The AI didn’t decide women were less qualified. It observed that Amazon had historically hired fewer women and optimized for that pattern.</w:t>
      </w:r>
    </w:p>
    <w:p>
      <w:pPr>
        <w:pStyle w:val="BodyText"/>
      </w:pPr>
      <w:r>
        <w:t xml:space="preserve">Similar patterns have been documented in criminal risk assessment tools (COMPAS, documented by ProPublica in 2016, showed Black defendants were 77% more likely to be falsely flagged as high-risk for future crime than white defendants), credit scoring algorithms (demonstrated by Berkeley researchers in 2018 to charge Black and Hispanic borrowers higher mortgage interest rates controlling for creditworthiness), and healthcare allocation systems (documented by Science in 2019 — an algorithm used by major health systems to allocate care systematically underestimated the health needs of Black patients).</w:t>
      </w:r>
    </w:p>
    <w:bookmarkEnd w:id="85"/>
    <w:bookmarkStart w:id="86" w:name="ai-and-the-labor-market"/>
    <w:p>
      <w:pPr>
        <w:pStyle w:val="Heading2"/>
      </w:pPr>
      <w:r>
        <w:t xml:space="preserve">21.2 — AI and the Labor Market</w:t>
      </w:r>
    </w:p>
    <w:p>
      <w:pPr>
        <w:pStyle w:val="FirstParagraph"/>
      </w:pPr>
      <w:r>
        <w:t xml:space="preserve">Goldman Sachs estimated in 2023 that AI could automate 300 million jobs globally. McKinsey’s 2023 analysis projected that Black workers are 10% more likely than white workers to hold jobs that are highly automatable, because the occupational distribution of Black workers is concentrated in administrative support, food service, retail, and transportation — all high-automation categories.</w:t>
      </w:r>
    </w:p>
    <w:p>
      <w:pPr>
        <w:pStyle w:val="BodyText"/>
      </w:pPr>
      <w:r>
        <w:t xml:space="preserve">AI is not neutral technology. It is a technology that, without deliberate intervention, will reproduce and accelerate the patterns embedded in its training data. The wage gap, the employment gap, the wealth gap, and the opportunity gap are all in the training data. The AI will learn them, optimize for them, and scale them.</w:t>
      </w:r>
    </w:p>
    <w:bookmarkEnd w:id="86"/>
    <w:bookmarkEnd w:id="87"/>
    <w:bookmarkStart w:id="88" w:name="X7a23dcf75331e281f8cafeffb5e85f8ed185963"/>
    <w:p>
      <w:pPr>
        <w:pStyle w:val="Heading1"/>
      </w:pPr>
      <w:r>
        <w:t xml:space="preserve">Chapter 22: The Numbers Right Now — 2026 Snapshot</w:t>
      </w:r>
    </w:p>
    <w:p>
      <w:pPr>
        <w:pStyle w:val="FirstParagraph"/>
      </w:pPr>
      <w:r>
        <w:t xml:space="preserve">Where the gaps stand as of the most recent available federal data:</w:t>
      </w:r>
    </w:p>
    <w:p>
      <w:pPr>
        <w:pStyle w:val="BodyText"/>
      </w:pPr>
      <w:r>
        <w:t xml:space="preserve">Sources: Census Bureau (CPS ASEC 2024), Federal Reserve (SCF 2022), BLS, CDC, NCHS. The wealth ratio (6.3:1) is the headline number. Black households hold 15.8 cents of wealth for every dollar held by white households. After 95 years of civil rights legislation, antidiscrimination law, affirmative action, equal opportunity enforcement, and diversity programs.</w:t>
      </w:r>
    </w:p>
    <w:p>
      <w:pPr>
        <w:pStyle w:val="BodyText"/>
      </w:pPr>
      <w:r>
        <w:t xml:space="preserve">Fifteen point eight cents on the dollar. That is the architecture, measured.</w:t>
      </w:r>
    </w:p>
    <w:p>
      <w:pPr>
        <w:pStyle w:val="BodyText"/>
      </w:pPr>
      <w:r>
        <w:rPr>
          <w:bCs/>
          <w:b/>
        </w:rPr>
        <w:t xml:space="preserve">PART VI</w:t>
      </w:r>
    </w:p>
    <w:p>
      <w:pPr>
        <w:pStyle w:val="BodyText"/>
      </w:pPr>
      <w:r>
        <w:t xml:space="preserve">THE ARITHMETIC</w:t>
      </w:r>
    </w:p>
    <w:p>
      <w:pPr>
        <w:pStyle w:val="BodyText"/>
      </w:pPr>
      <w:r>
        <w:rPr>
          <w:iCs/>
          <w:i/>
        </w:rPr>
        <w:t xml:space="preserve">The gap is not a mystery. It is a calculation. Here is the calculation.</w:t>
      </w:r>
    </w:p>
    <w:bookmarkEnd w:id="88"/>
    <w:bookmarkStart w:id="92" w:name="Xeb4475e74d88d300c28b51e766a6a7b3ce5686d"/>
    <w:p>
      <w:pPr>
        <w:pStyle w:val="Heading1"/>
      </w:pPr>
      <w:r>
        <w:t xml:space="preserve">Chapter 23: The Compound Interest Calculation</w:t>
      </w:r>
    </w:p>
    <w:p>
      <w:pPr>
        <w:pStyle w:val="FirstParagraph"/>
      </w:pPr>
      <w:r>
        <w:t xml:space="preserve">If one group earns 60 cents for every dollar earned by another group, and both groups save 10% of their income, and both groups invest their savings at the same rate of return (5% annually), and they do this for 95 years, what is the wealth ratio at the end?</w:t>
      </w:r>
    </w:p>
    <w:bookmarkStart w:id="89" w:name="the-basic-model"/>
    <w:p>
      <w:pPr>
        <w:pStyle w:val="Heading2"/>
      </w:pPr>
      <w:r>
        <w:t xml:space="preserve">23.1 — The Basic Model</w:t>
      </w:r>
    </w:p>
    <w:p>
      <w:pPr>
        <w:pStyle w:val="FirstParagraph"/>
      </w:pPr>
      <w:r>
        <w:t xml:space="preserve">White family annual income: $1.00 (normalized). Savings: $0.10/year.</w:t>
      </w:r>
    </w:p>
    <w:p>
      <w:pPr>
        <w:pStyle w:val="BodyText"/>
      </w:pPr>
      <w:r>
        <w:t xml:space="preserve">Black family annual income: $0.60. Savings: $0.06/year.</w:t>
      </w:r>
    </w:p>
    <w:p>
      <w:pPr>
        <w:pStyle w:val="BodyText"/>
      </w:pPr>
      <w:r>
        <w:t xml:space="preserve">After 95 years of compounding at 5%:</w:t>
      </w:r>
    </w:p>
    <w:p>
      <w:pPr>
        <w:pStyle w:val="BodyText"/>
      </w:pPr>
      <w:r>
        <w:rPr>
          <w:bCs/>
          <w:b/>
        </w:rPr>
        <w:t xml:space="preserve">White accumulated wealth:</w:t>
      </w:r>
      <w:r>
        <w:rPr>
          <w:bCs/>
          <w:b/>
        </w:rPr>
        <w:t xml:space="preserve"> </w:t>
      </w:r>
      <w:r>
        <w:t xml:space="preserve">$0.10 × ((1.05^95 − 1) / 0.05) = $0.10 × 2,040.7 = $204.07</w:t>
      </w:r>
    </w:p>
    <w:p>
      <w:pPr>
        <w:pStyle w:val="BodyText"/>
      </w:pPr>
      <w:r>
        <w:rPr>
          <w:bCs/>
          <w:b/>
        </w:rPr>
        <w:t xml:space="preserve">Black accumulated wealth:</w:t>
      </w:r>
      <w:r>
        <w:rPr>
          <w:bCs/>
          <w:b/>
        </w:rPr>
        <w:t xml:space="preserve"> </w:t>
      </w:r>
      <w:r>
        <w:t xml:space="preserve">$0.06 × ((1.05^95 − 1) / 0.05) = $0.06 × 2,040.7 = $122.44</w:t>
      </w:r>
    </w:p>
    <w:p>
      <w:pPr>
        <w:pStyle w:val="BodyText"/>
      </w:pPr>
      <w:r>
        <w:rPr>
          <w:bCs/>
          <w:b/>
        </w:rPr>
        <w:t xml:space="preserve">Ratio:</w:t>
      </w:r>
      <w:r>
        <w:rPr>
          <w:bCs/>
          <w:b/>
        </w:rPr>
        <w:t xml:space="preserve"> </w:t>
      </w:r>
      <w:r>
        <w:t xml:space="preserve">1.67:1. If the ONLY difference were income, the wealth gap would be 1.67:1.</w:t>
      </w:r>
    </w:p>
    <w:p>
      <w:pPr>
        <w:pStyle w:val="BodyText"/>
      </w:pPr>
      <w:r>
        <w:t xml:space="preserve">But the actual wealth gap is 6.3:1. The income gap alone explains only 27% of the wealth gap. The remaining 73% is explained by the mechanisms this book documents: exclusion from homeownership (redlining, FHA, GI Bill), exclusion from Social Security and labor protections (New Deal carve-outs), targeted wealth destruction (subprime crisis), wage suppression through incarceration, and the compound effect of lower returns on investment due to residential segregation (homes in Black neighborhoods appreciate less than comparable homes in white neighborhoods).</w:t>
      </w:r>
    </w:p>
    <w:bookmarkEnd w:id="89"/>
    <w:bookmarkStart w:id="90" w:name="the-homeownership-multiplier"/>
    <w:p>
      <w:pPr>
        <w:pStyle w:val="Heading2"/>
      </w:pPr>
      <w:r>
        <w:t xml:space="preserve">23.2 — The Homeownership Multiplier</w:t>
      </w:r>
    </w:p>
    <w:p>
      <w:pPr>
        <w:pStyle w:val="FirstParagraph"/>
      </w:pPr>
      <w:r>
        <w:t xml:space="preserve">Home equity is the primary wealth-building vehicle for working Americans. The average home appreciates at approximately 3.5–4.5% annually. But homes in historically redlined neighborhoods appreciate 20–40% less than comparable homes in non-redlined neighborhoods (National Community Reinvestment Coalition, 2018).</w:t>
      </w:r>
    </w:p>
    <w:p>
      <w:pPr>
        <w:pStyle w:val="BodyText"/>
      </w:pPr>
      <w:r>
        <w:t xml:space="preserve">A home purchased for $10,000 in 1950 (typical for a Levittown-style suburban home) appreciating at 4% for 75 years is worth approximately $190,000 by 2025. The same home in a redlined neighborhood, appreciating at 2.5%, is worth approximately $63,000. Same house. Same maintenance. Different zip code. 3:1 wealth difference from one variable.</w:t>
      </w:r>
    </w:p>
    <w:bookmarkEnd w:id="90"/>
    <w:bookmarkStart w:id="91" w:name="the-cumulative-calculation"/>
    <w:p>
      <w:pPr>
        <w:pStyle w:val="Heading2"/>
      </w:pPr>
      <w:r>
        <w:t xml:space="preserve">23.3 — The Cumulative Calculation</w:t>
      </w:r>
    </w:p>
    <w:p>
      <w:pPr>
        <w:pStyle w:val="FirstParagraph"/>
      </w:pPr>
      <w:r>
        <w:t xml:space="preserve">When you combine:</w:t>
      </w:r>
    </w:p>
    <w:p>
      <w:pPr>
        <w:pStyle w:val="BodyText"/>
      </w:pPr>
      <w:r>
        <w:rPr>
          <w:bCs/>
          <w:b/>
        </w:rPr>
        <w:t xml:space="preserve">Income gap:</w:t>
      </w:r>
      <w:r>
        <w:rPr>
          <w:bCs/>
          <w:b/>
        </w:rPr>
        <w:t xml:space="preserve"> </w:t>
      </w:r>
      <w:r>
        <w:t xml:space="preserve">60–65 cents on the dollar, sustained for 95 years</w:t>
      </w:r>
    </w:p>
    <w:p>
      <w:pPr>
        <w:pStyle w:val="BodyText"/>
      </w:pPr>
      <w:r>
        <w:rPr>
          <w:bCs/>
          <w:b/>
        </w:rPr>
        <w:t xml:space="preserve">Homeownership exclusion:</w:t>
      </w:r>
      <w:r>
        <w:rPr>
          <w:bCs/>
          <w:b/>
        </w:rPr>
        <w:t xml:space="preserve"> </w:t>
      </w:r>
      <w:r>
        <w:t xml:space="preserve">25–30 point gap, sustained for 90 years</w:t>
      </w:r>
    </w:p>
    <w:p>
      <w:pPr>
        <w:pStyle w:val="BodyText"/>
      </w:pPr>
      <w:r>
        <w:rPr>
          <w:bCs/>
          <w:b/>
        </w:rPr>
        <w:t xml:space="preserve">Home appreciation gap:</w:t>
      </w:r>
      <w:r>
        <w:rPr>
          <w:bCs/>
          <w:b/>
        </w:rPr>
        <w:t xml:space="preserve"> </w:t>
      </w:r>
      <w:r>
        <w:t xml:space="preserve">20–40% lower returns in segregated neighborhoods, sustained for 90 years</w:t>
      </w:r>
    </w:p>
    <w:p>
      <w:pPr>
        <w:pStyle w:val="BodyText"/>
      </w:pPr>
      <w:r>
        <w:rPr>
          <w:bCs/>
          <w:b/>
        </w:rPr>
        <w:t xml:space="preserve">Social Security exclusion:</w:t>
      </w:r>
      <w:r>
        <w:rPr>
          <w:bCs/>
          <w:b/>
        </w:rPr>
        <w:t xml:space="preserve"> </w:t>
      </w:r>
      <w:r>
        <w:t xml:space="preserve">15–19 years of zero contributions for 60% of Black workers</w:t>
      </w:r>
    </w:p>
    <w:p>
      <w:pPr>
        <w:pStyle w:val="BodyText"/>
      </w:pPr>
      <w:r>
        <w:rPr>
          <w:bCs/>
          <w:b/>
        </w:rPr>
        <w:t xml:space="preserve">GI Bill exclusion:</w:t>
      </w:r>
      <w:r>
        <w:rPr>
          <w:bCs/>
          <w:b/>
        </w:rPr>
        <w:t xml:space="preserve"> </w:t>
      </w:r>
      <w:r>
        <w:t xml:space="preserve">7.8 million white veterans educated and housed; negligible Black participation</w:t>
      </w:r>
    </w:p>
    <w:p>
      <w:pPr>
        <w:pStyle w:val="BodyText"/>
      </w:pPr>
      <w:r>
        <w:rPr>
          <w:bCs/>
          <w:b/>
        </w:rPr>
        <w:t xml:space="preserve">Mass incarceration:</w:t>
      </w:r>
      <w:r>
        <w:rPr>
          <w:bCs/>
          <w:b/>
        </w:rPr>
        <w:t xml:space="preserve"> </w:t>
      </w:r>
      <w:r>
        <w:t xml:space="preserve">40% lifetime earnings reduction for affected individuals, disproportionately Black</w:t>
      </w:r>
    </w:p>
    <w:p>
      <w:pPr>
        <w:pStyle w:val="BodyText"/>
      </w:pPr>
      <w:r>
        <w:rPr>
          <w:bCs/>
          <w:b/>
        </w:rPr>
        <w:t xml:space="preserve">Subprime targeting:</w:t>
      </w:r>
      <w:r>
        <w:rPr>
          <w:bCs/>
          <w:b/>
        </w:rPr>
        <w:t xml:space="preserve"> </w:t>
      </w:r>
      <w:r>
        <w:t xml:space="preserve">70% Black wealth destruction in 2007–2010</w:t>
      </w:r>
    </w:p>
    <w:p>
      <w:pPr>
        <w:pStyle w:val="BodyText"/>
      </w:pPr>
      <w:r>
        <w:t xml:space="preserve">The 6.3:1 wealth ratio is not a mystery. It is the mathematically predictable outcome of these inputs. You could build a spreadsheet with these variables and reproduce the ratio within an order of magnitude. The gap is arithmetic.</w:t>
      </w:r>
    </w:p>
    <w:bookmarkEnd w:id="91"/>
    <w:bookmarkEnd w:id="92"/>
    <w:bookmarkStart w:id="96" w:name="Xf8a49692a908b8005a18d31f88f821194b3a8f4"/>
    <w:p>
      <w:pPr>
        <w:pStyle w:val="Heading1"/>
      </w:pPr>
      <w:r>
        <w:t xml:space="preserve">Chapter 24: What Closing the Gap Would Actually Require</w:t>
      </w:r>
    </w:p>
    <w:p>
      <w:pPr>
        <w:pStyle w:val="FirstParagraph"/>
      </w:pPr>
      <w:r>
        <w:t xml:space="preserve">The racial wealth gap in 2022 represented approximately $14.5 trillion — the difference between aggregate white household wealth and what aggregate Black household wealth would be if Black families held the same median wealth as white families (Federal Reserve data, author calculation).</w:t>
      </w:r>
    </w:p>
    <w:bookmarkStart w:id="93" w:name="the-time-only-scenario"/>
    <w:p>
      <w:pPr>
        <w:pStyle w:val="Heading2"/>
      </w:pPr>
      <w:r>
        <w:t xml:space="preserve">24.1 — The Time-Only Scenario</w:t>
      </w:r>
    </w:p>
    <w:p>
      <w:pPr>
        <w:pStyle w:val="FirstParagraph"/>
      </w:pPr>
      <w:r>
        <w:t xml:space="preserve">If the wealth gap narrows at the rate it has narrowed since 1989 (approximately 0.3 percentage points per year), racial wealth parity will be reached in approximately 2270 — 244 years from now. This is not a misprint. At the current rate of convergence, the wealth gap will close in the year two thousand two hundred and seventy.</w:t>
      </w:r>
    </w:p>
    <w:bookmarkEnd w:id="93"/>
    <w:bookmarkStart w:id="94" w:name="the-policy-scenarios"/>
    <w:p>
      <w:pPr>
        <w:pStyle w:val="Heading2"/>
      </w:pPr>
      <w:r>
        <w:t xml:space="preserve">24.2 — The Policy Scenarios</w:t>
      </w:r>
    </w:p>
    <w:p>
      <w:pPr>
        <w:pStyle w:val="FirstParagraph"/>
      </w:pPr>
      <w:r>
        <w:rPr>
          <w:bCs/>
          <w:b/>
        </w:rPr>
        <w:t xml:space="preserve">Baby bonds:</w:t>
      </w:r>
      <w:r>
        <w:rPr>
          <w:bCs/>
          <w:b/>
        </w:rPr>
        <w:t xml:space="preserve"> </w:t>
      </w:r>
      <w:r>
        <w:t xml:space="preserve">Senator Cory Booker’s ASPIRE Act proposed $1,000 at birth plus annual contributions up to $2,000 for low-wealth families. Economists Darrick Hamilton and William Darity estimated this would reduce the racial wealth gap by 60–70% within one generation (approximately 30 years). Cost: $60–80 billion per year.</w:t>
      </w:r>
    </w:p>
    <w:p>
      <w:pPr>
        <w:pStyle w:val="BodyText"/>
      </w:pPr>
      <w:r>
        <w:rPr>
          <w:bCs/>
          <w:b/>
        </w:rPr>
        <w:t xml:space="preserve">Reparations:</w:t>
      </w:r>
      <w:r>
        <w:rPr>
          <w:bCs/>
          <w:b/>
        </w:rPr>
        <w:t xml:space="preserve"> </w:t>
      </w:r>
      <w:r>
        <w:t xml:space="preserve">HR 40, the Commission to Study Reparation Proposals, has been introduced in every Congress since 1989. William Darity and A. Kirsten Mullen estimated the cost of closing the Black-white wealth gap through direct payments at $10–14 trillion. This is approximately equal to the combined 2024 revenue of the federal government for two years.</w:t>
      </w:r>
    </w:p>
    <w:p>
      <w:pPr>
        <w:pStyle w:val="BodyText"/>
      </w:pPr>
      <w:r>
        <w:rPr>
          <w:bCs/>
          <w:b/>
        </w:rPr>
        <w:t xml:space="preserve">Homeownership expansion:</w:t>
      </w:r>
      <w:r>
        <w:rPr>
          <w:bCs/>
          <w:b/>
        </w:rPr>
        <w:t xml:space="preserve"> </w:t>
      </w:r>
      <w:r>
        <w:t xml:space="preserve">A modern equivalent of the FHA — but administered without discrimination — could increase Black homeownership from 44% to 60–65% within 15 years. At current median home values, this would add approximately $2–3 trillion to Black household wealth. Cost: approximately $200–300 billion in loan guarantees.</w:t>
      </w:r>
    </w:p>
    <w:p>
      <w:pPr>
        <w:pStyle w:val="BodyText"/>
      </w:pPr>
      <w:r>
        <w:rPr>
          <w:bCs/>
          <w:b/>
        </w:rPr>
        <w:t xml:space="preserve">Current trajectory:</w:t>
      </w:r>
      <w:r>
        <w:rPr>
          <w:bCs/>
          <w:b/>
        </w:rPr>
        <w:t xml:space="preserve"> </w:t>
      </w:r>
      <w:r>
        <w:t xml:space="preserve">Do nothing. Wait 244 years. The gap closes by 2270. Your great-great-great-great-great-great-great-grandchildren will live in a country with racial wealth parity.</w:t>
      </w:r>
    </w:p>
    <w:bookmarkEnd w:id="94"/>
    <w:bookmarkStart w:id="95" w:name="the-real-question"/>
    <w:p>
      <w:pPr>
        <w:pStyle w:val="Heading2"/>
      </w:pPr>
      <w:r>
        <w:t xml:space="preserve">24.3 — The Real Question</w:t>
      </w:r>
    </w:p>
    <w:p>
      <w:pPr>
        <w:pStyle w:val="FirstParagraph"/>
      </w:pPr>
      <w:r>
        <w:t xml:space="preserve">The question is not whether the gap can be closed. The mechanisms exist. The question is whether the political will exists to deploy them at the scale required. The New Deal deployed federal resources at scale for white wealth creation. The GI Bill deployed federal resources at scale for white education and homeownership. The federal government has demonstrated that it can build a middle class in a single generation when it chooses to.</w:t>
      </w:r>
    </w:p>
    <w:p>
      <w:pPr>
        <w:pStyle w:val="BodyText"/>
      </w:pPr>
      <w:r>
        <w:t xml:space="preserve">It chose to build a white middle class. The question for the next century is whether it will choose to extend that same investment to everyone.</w:t>
      </w:r>
    </w:p>
    <w:p>
      <w:pPr>
        <w:pStyle w:val="BodyText"/>
      </w:pPr>
      <w:r>
        <w:rPr>
          <w:bCs/>
          <w:b/>
        </w:rPr>
        <w:t xml:space="preserve">The gap is not a mystery. It is arithmetic. And arithmetic has solutions. The question is whether the country wants to do the math.</w:t>
      </w:r>
    </w:p>
    <w:p>
      <w:pPr>
        <w:pStyle w:val="BodyText"/>
      </w:pPr>
      <w:r>
        <w:rPr>
          <w:bCs/>
          <w:b/>
        </w:rPr>
        <w:t xml:space="preserve">APPENDICES</w:t>
      </w:r>
    </w:p>
    <w:bookmarkEnd w:id="95"/>
    <w:bookmarkEnd w:id="96"/>
    <w:bookmarkStart w:id="97" w:name="appendix-a-wage-gap-data-tables-19402025"/>
    <w:p>
      <w:pPr>
        <w:pStyle w:val="Heading1"/>
      </w:pPr>
      <w:r>
        <w:t xml:space="preserve">Appendix A: Wage Gap Data Tables (1940–2025)</w:t>
      </w:r>
    </w:p>
    <w:p>
      <w:pPr>
        <w:pStyle w:val="FirstParagraph"/>
      </w:pPr>
      <w:r>
        <w:t xml:space="preserve">Black/White Median Household Income Ratio:</w:t>
      </w:r>
    </w:p>
    <w:p>
      <w:pPr>
        <w:pStyle w:val="BodyText"/>
      </w:pPr>
      <w:r>
        <w:t xml:space="preserve">Sources: Census Bureau Historical Income Tables (Table H-5), BLS Current Population Survey. W/M = Women/Men earnings ratio. BW/WM = Black women per white male dollar. HW/WM = Hispanic women per white male dollar. Nominal dollars except ratios.</w:t>
      </w:r>
    </w:p>
    <w:bookmarkEnd w:id="97"/>
    <w:bookmarkStart w:id="98" w:name="X68e6c5c72e2ab3cd545467cd74304f92182849c"/>
    <w:p>
      <w:pPr>
        <w:pStyle w:val="Heading1"/>
      </w:pPr>
      <w:r>
        <w:t xml:space="preserve">Appendix B: Wealth Gap Data Tables (1940–2025)</w:t>
      </w:r>
    </w:p>
    <w:p>
      <w:pPr>
        <w:pStyle w:val="FirstParagraph"/>
      </w:pPr>
      <w:r>
        <w:t xml:space="preserve">Source: Federal Reserve Survey of Consumer Finances (SCF), conducted triennially. All figures in nominal dollars of the survey year. SCF is the gold standard for household wealth measurement in the United States.</w:t>
      </w:r>
    </w:p>
    <w:bookmarkEnd w:id="98"/>
    <w:bookmarkStart w:id="99" w:name="appendix-c-key-legislation-timeline"/>
    <w:p>
      <w:pPr>
        <w:pStyle w:val="Heading1"/>
      </w:pPr>
      <w:r>
        <w:t xml:space="preserve">Appendix C: Key Legislation Timeline</w:t>
      </w:r>
    </w:p>
    <w:p>
      <w:pPr>
        <w:pStyle w:val="FirstParagraph"/>
      </w:pPr>
      <w:r>
        <w:t xml:space="preserve">1931 — Davis-Bacon Act: Prevailing wage requirement excludes non-union (Black) construction workers.</w:t>
      </w:r>
    </w:p>
    <w:p>
      <w:pPr>
        <w:pStyle w:val="BodyText"/>
      </w:pPr>
      <w:r>
        <w:t xml:space="preserve">1933 — HOLC created: Residential security maps developed. Redlining begins.</w:t>
      </w:r>
    </w:p>
    <w:p>
      <w:pPr>
        <w:pStyle w:val="BodyText"/>
      </w:pPr>
      <w:r>
        <w:t xml:space="preserve">1934 — FHA created: Mortgage insurance with racial exclusion. Underwriting Manual recommends restrictive covenants.</w:t>
      </w:r>
    </w:p>
    <w:p>
      <w:pPr>
        <w:pStyle w:val="BodyText"/>
      </w:pPr>
      <w:r>
        <w:t xml:space="preserve">1935 — Social Security Act: Excludes agricultural and domestic workers (60% of Black workforce).</w:t>
      </w:r>
    </w:p>
    <w:p>
      <w:pPr>
        <w:pStyle w:val="BodyText"/>
      </w:pPr>
      <w:r>
        <w:t xml:space="preserve">1935 — Wagner Act: Collective bargaining rights exclude agricultural and domestic workers.</w:t>
      </w:r>
    </w:p>
    <w:p>
      <w:pPr>
        <w:pStyle w:val="BodyText"/>
      </w:pPr>
      <w:r>
        <w:t xml:space="preserve">1938 — Fair Labor Standards Act: Minimum wage excludes agricultural and domestic workers.</w:t>
      </w:r>
    </w:p>
    <w:p>
      <w:pPr>
        <w:pStyle w:val="BodyText"/>
      </w:pPr>
      <w:r>
        <w:t xml:space="preserve">1941 — Executive Order 8802: Prohibits discrimination in defense industries.</w:t>
      </w:r>
    </w:p>
    <w:p>
      <w:pPr>
        <w:pStyle w:val="BodyText"/>
      </w:pPr>
      <w:r>
        <w:t xml:space="preserve">1944 — GI Bill: Race-neutral law, discriminatory administration.</w:t>
      </w:r>
    </w:p>
    <w:p>
      <w:pPr>
        <w:pStyle w:val="BodyText"/>
      </w:pPr>
      <w:r>
        <w:t xml:space="preserve">1948 — Shelley v. Kraemer: Supreme Court rules restrictive covenants unenforceable. FHA continues to use them.</w:t>
      </w:r>
    </w:p>
    <w:p>
      <w:pPr>
        <w:pStyle w:val="BodyText"/>
      </w:pPr>
      <w:r>
        <w:t xml:space="preserve">1950 — Social Security extended to domestic workers.</w:t>
      </w:r>
    </w:p>
    <w:p>
      <w:pPr>
        <w:pStyle w:val="BodyText"/>
      </w:pPr>
      <w:r>
        <w:t xml:space="preserve">1954 — Brown v. Board of Education: School segregation unconstitutional. Social Security extended to agricultural workers.</w:t>
      </w:r>
    </w:p>
    <w:p>
      <w:pPr>
        <w:pStyle w:val="BodyText"/>
      </w:pPr>
      <w:r>
        <w:t xml:space="preserve">1963 — Equal Pay Act: Prohibits gender wage discrimination for equal work.</w:t>
      </w:r>
    </w:p>
    <w:p>
      <w:pPr>
        <w:pStyle w:val="BodyText"/>
      </w:pPr>
      <w:r>
        <w:t xml:space="preserve">1964 — Civil Rights Act (Title VII): Prohibits employment discrimination. EEOC created.</w:t>
      </w:r>
    </w:p>
    <w:p>
      <w:pPr>
        <w:pStyle w:val="BodyText"/>
      </w:pPr>
      <w:r>
        <w:t xml:space="preserve">1965 — Voting Rights Act. Executive Order 11246: Affirmative action for federal contractors.</w:t>
      </w:r>
    </w:p>
    <w:p>
      <w:pPr>
        <w:pStyle w:val="BodyText"/>
      </w:pPr>
      <w:r>
        <w:t xml:space="preserve">1968 — Fair Housing Act: Prohibits housing discrimination. Kerner Commission report.</w:t>
      </w:r>
    </w:p>
    <w:p>
      <w:pPr>
        <w:pStyle w:val="BodyText"/>
      </w:pPr>
      <w:r>
        <w:t xml:space="preserve">1972 — Equal Employment Opportunity Act: Gives EEOC enforcement power. ERA passed by Congress.</w:t>
      </w:r>
    </w:p>
    <w:p>
      <w:pPr>
        <w:pStyle w:val="BodyText"/>
      </w:pPr>
      <w:r>
        <w:t xml:space="preserve">1977 — FLSA extended to agricultural workers (39 years after passage).</w:t>
      </w:r>
    </w:p>
    <w:p>
      <w:pPr>
        <w:pStyle w:val="BodyText"/>
      </w:pPr>
      <w:r>
        <w:t xml:space="preserve">1978 — Bakke: Racial quotas struck down; race-conscious admissions upheld.</w:t>
      </w:r>
    </w:p>
    <w:p>
      <w:pPr>
        <w:pStyle w:val="BodyText"/>
      </w:pPr>
      <w:r>
        <w:t xml:space="preserve">1982 — ERA ratification deadline expires.</w:t>
      </w:r>
    </w:p>
    <w:p>
      <w:pPr>
        <w:pStyle w:val="BodyText"/>
      </w:pPr>
      <w:r>
        <w:t xml:space="preserve">1986 — Anti-Drug Abuse Act: 100:1 crack/powder disparity.</w:t>
      </w:r>
    </w:p>
    <w:p>
      <w:pPr>
        <w:pStyle w:val="BodyText"/>
      </w:pPr>
      <w:r>
        <w:t xml:space="preserve">1994 — NAFTA.</w:t>
      </w:r>
    </w:p>
    <w:p>
      <w:pPr>
        <w:pStyle w:val="BodyText"/>
      </w:pPr>
      <w:r>
        <w:t xml:space="preserve">1996 — Welfare reform (TANF replaces AFDC).</w:t>
      </w:r>
    </w:p>
    <w:p>
      <w:pPr>
        <w:pStyle w:val="BodyText"/>
      </w:pPr>
      <w:r>
        <w:t xml:space="preserve">2008 — Great Recession. 70% Black wealth destruction.</w:t>
      </w:r>
    </w:p>
    <w:p>
      <w:pPr>
        <w:pStyle w:val="BodyText"/>
      </w:pPr>
      <w:r>
        <w:t xml:space="preserve">2010 — Fair Sentencing Act: Crack/powder ratio reduced from 100:1 to 18:1.</w:t>
      </w:r>
    </w:p>
    <w:p>
      <w:pPr>
        <w:pStyle w:val="BodyText"/>
      </w:pPr>
      <w:r>
        <w:t xml:space="preserve">2020 — COVID-19. Disparate mortality, employment, and wealth impact.</w:t>
      </w:r>
    </w:p>
    <w:p>
      <w:pPr>
        <w:pStyle w:val="BodyText"/>
      </w:pPr>
      <w:r>
        <w:t xml:space="preserve">2023 — SFFA v. Harvard: Race-conscious admissions effectively ended.</w:t>
      </w:r>
    </w:p>
    <w:bookmarkEnd w:id="99"/>
    <w:bookmarkStart w:id="100" w:name="appendix-d-sources-and-methodology"/>
    <w:p>
      <w:pPr>
        <w:pStyle w:val="Heading1"/>
      </w:pPr>
      <w:r>
        <w:t xml:space="preserve">Appendix D: Sources and Methodology</w:t>
      </w:r>
    </w:p>
    <w:p>
      <w:pPr>
        <w:pStyle w:val="FirstParagraph"/>
      </w:pPr>
      <w:r>
        <w:t xml:space="preserve">All statistics in this book are sourced from federal data unless otherwise noted:</w:t>
      </w:r>
    </w:p>
    <w:p>
      <w:pPr>
        <w:pStyle w:val="BodyText"/>
      </w:pPr>
      <w:r>
        <w:t xml:space="preserve">Bureau of Labor Statistics (BLS): Employment, unemployment, earnings, union membership.</w:t>
      </w:r>
    </w:p>
    <w:p>
      <w:pPr>
        <w:pStyle w:val="BodyText"/>
      </w:pPr>
      <w:r>
        <w:t xml:space="preserve">Census Bureau: Income, poverty, homeownership, educational attainment (Current Population Survey, American Community Survey, decennial census).</w:t>
      </w:r>
    </w:p>
    <w:p>
      <w:pPr>
        <w:pStyle w:val="BodyText"/>
      </w:pPr>
      <w:r>
        <w:t xml:space="preserve">Federal Reserve: Household wealth (Survey of Consumer Finances, conducted triennially since 1989).</w:t>
      </w:r>
    </w:p>
    <w:p>
      <w:pPr>
        <w:pStyle w:val="BodyText"/>
      </w:pPr>
      <w:r>
        <w:t xml:space="preserve">Bureau of Justice Statistics: Incarceration rates, prison population demographics.</w:t>
      </w:r>
    </w:p>
    <w:p>
      <w:pPr>
        <w:pStyle w:val="BodyText"/>
      </w:pPr>
      <w:r>
        <w:t xml:space="preserve">Centers for Disease Control / NCHS: Life expectancy, infant mortality, COVID mortality.</w:t>
      </w:r>
    </w:p>
    <w:p>
      <w:pPr>
        <w:pStyle w:val="BodyText"/>
      </w:pPr>
      <w:r>
        <w:t xml:space="preserve">National Archives: HOLC maps, FHA Underwriting Manual, legislative records.</w:t>
      </w:r>
    </w:p>
    <w:p>
      <w:pPr>
        <w:pStyle w:val="BodyText"/>
      </w:pPr>
      <w:r>
        <w:t xml:space="preserve">Congressional Budget Office: Tax and spending distribution analyses.</w:t>
      </w:r>
    </w:p>
    <w:p>
      <w:pPr>
        <w:pStyle w:val="BodyText"/>
      </w:pPr>
      <w:r>
        <w:t xml:space="preserve">Where peer-reviewed research is cited, the citation is provided in-text with author, year, and journal/publisher. Full references are available in the original sources. This book prioritizes federal data because it is non-partisan, publicly available, and not in dispute.</w:t>
      </w:r>
    </w:p>
    <w:bookmarkEnd w:id="100"/>
    <w:bookmarkStart w:id="101" w:name="appendix-e-glossary"/>
    <w:p>
      <w:pPr>
        <w:pStyle w:val="Heading1"/>
      </w:pPr>
      <w:r>
        <w:t xml:space="preserve">Appendix E: Glossary</w:t>
      </w:r>
    </w:p>
    <w:p>
      <w:pPr>
        <w:pStyle w:val="FirstParagraph"/>
      </w:pPr>
      <w:r>
        <w:rPr>
          <w:bCs/>
          <w:b/>
        </w:rPr>
        <w:t xml:space="preserve">Davis-Bacon Act (1931):</w:t>
      </w:r>
      <w:r>
        <w:rPr>
          <w:bCs/>
          <w:b/>
        </w:rPr>
        <w:t xml:space="preserve"> </w:t>
      </w:r>
      <w:r>
        <w:t xml:space="preserve">Federal law requiring prevailing (union) wages on federal construction projects. Excluded non-union (disproportionately Black) workers.</w:t>
      </w:r>
    </w:p>
    <w:p>
      <w:pPr>
        <w:pStyle w:val="BodyText"/>
      </w:pPr>
      <w:r>
        <w:rPr>
          <w:bCs/>
          <w:b/>
        </w:rPr>
        <w:t xml:space="preserve">Disparate Impact:</w:t>
      </w:r>
      <w:r>
        <w:rPr>
          <w:bCs/>
          <w:b/>
        </w:rPr>
        <w:t xml:space="preserve"> </w:t>
      </w:r>
      <w:r>
        <w:t xml:space="preserve">Legal doctrine holding that facially neutral policies that disproportionately burden protected groups violate civil rights law, regardless of intent.</w:t>
      </w:r>
    </w:p>
    <w:p>
      <w:pPr>
        <w:pStyle w:val="BodyText"/>
      </w:pPr>
      <w:r>
        <w:rPr>
          <w:bCs/>
          <w:b/>
        </w:rPr>
        <w:t xml:space="preserve">FLSA:</w:t>
      </w:r>
      <w:r>
        <w:rPr>
          <w:bCs/>
          <w:b/>
        </w:rPr>
        <w:t xml:space="preserve"> </w:t>
      </w:r>
      <w:r>
        <w:t xml:space="preserve">Fair Labor Standards Act (1938). Federal minimum wage and overtime law. Excluded agricultural and domestic workers until 1966–1977.</w:t>
      </w:r>
    </w:p>
    <w:p>
      <w:pPr>
        <w:pStyle w:val="BodyText"/>
      </w:pPr>
      <w:r>
        <w:rPr>
          <w:bCs/>
          <w:b/>
        </w:rPr>
        <w:t xml:space="preserve">HOLC:</w:t>
      </w:r>
      <w:r>
        <w:rPr>
          <w:bCs/>
          <w:b/>
        </w:rPr>
        <w:t xml:space="preserve"> </w:t>
      </w:r>
      <w:r>
        <w:t xml:space="preserve">Home Owners’ Loan Corporation. Created the residential security maps (1935–1940) that formed the basis of redlining.</w:t>
      </w:r>
    </w:p>
    <w:p>
      <w:pPr>
        <w:pStyle w:val="BodyText"/>
      </w:pPr>
      <w:r>
        <w:rPr>
          <w:bCs/>
          <w:b/>
        </w:rPr>
        <w:t xml:space="preserve">Prevailing Wage:</w:t>
      </w:r>
      <w:r>
        <w:rPr>
          <w:bCs/>
          <w:b/>
        </w:rPr>
        <w:t xml:space="preserve"> </w:t>
      </w:r>
      <w:r>
        <w:t xml:space="preserve">The wage rate determined by the Department of Labor for a given job classification in a given area. Under Davis-Bacon, typically equal to the union wage.</w:t>
      </w:r>
    </w:p>
    <w:p>
      <w:pPr>
        <w:pStyle w:val="BodyText"/>
      </w:pPr>
      <w:r>
        <w:rPr>
          <w:bCs/>
          <w:b/>
        </w:rPr>
        <w:t xml:space="preserve">Redlining:</w:t>
      </w:r>
      <w:r>
        <w:rPr>
          <w:bCs/>
          <w:b/>
        </w:rPr>
        <w:t xml:space="preserve"> </w:t>
      </w:r>
      <w:r>
        <w:t xml:space="preserve">The practice of denying financial services to residents of specific areas based on racial composition. Originated with HOLC maps and FHA policy.</w:t>
      </w:r>
    </w:p>
    <w:p>
      <w:pPr>
        <w:pStyle w:val="BodyText"/>
      </w:pPr>
      <w:r>
        <w:rPr>
          <w:bCs/>
          <w:b/>
        </w:rPr>
        <w:t xml:space="preserve">SCF:</w:t>
      </w:r>
      <w:r>
        <w:rPr>
          <w:bCs/>
          <w:b/>
        </w:rPr>
        <w:t xml:space="preserve"> </w:t>
      </w:r>
      <w:r>
        <w:t xml:space="preserve">Survey of Consumer Finances. Federal Reserve survey of household wealth conducted every three years.</w:t>
      </w:r>
    </w:p>
    <w:p>
      <w:pPr>
        <w:pStyle w:val="BodyText"/>
      </w:pPr>
      <w:r>
        <w:rPr>
          <w:bCs/>
          <w:b/>
        </w:rPr>
        <w:t xml:space="preserve">Subprime:</w:t>
      </w:r>
      <w:r>
        <w:rPr>
          <w:bCs/>
          <w:b/>
        </w:rPr>
        <w:t xml:space="preserve"> </w:t>
      </w:r>
      <w:r>
        <w:t xml:space="preserve">Mortgages with higher interest rates and less favorable terms than prime mortgages. Marketed disproportionately to Black and Hispanic borrowers (2000–2008).</w:t>
      </w:r>
    </w:p>
    <w:p>
      <w:pPr>
        <w:pStyle w:val="BodyText"/>
      </w:pPr>
      <w:r>
        <w:rPr>
          <w:bCs/>
          <w:b/>
        </w:rPr>
        <w:t xml:space="preserve">Wage Gap:</w:t>
      </w:r>
      <w:r>
        <w:rPr>
          <w:bCs/>
          <w:b/>
        </w:rPr>
        <w:t xml:space="preserve"> </w:t>
      </w:r>
      <w:r>
        <w:t xml:space="preserve">The difference in median earnings between groups, typically expressed as cents per dollar or a percentage ratio.</w:t>
      </w:r>
    </w:p>
    <w:p>
      <w:pPr>
        <w:pStyle w:val="BodyText"/>
      </w:pPr>
      <w:r>
        <w:rPr>
          <w:bCs/>
          <w:b/>
        </w:rPr>
        <w:t xml:space="preserve">Wealth Gap:</w:t>
      </w:r>
      <w:r>
        <w:rPr>
          <w:bCs/>
          <w:b/>
        </w:rPr>
        <w:t xml:space="preserve"> </w:t>
      </w:r>
      <w:r>
        <w:t xml:space="preserve">The difference in median net worth between groups. Includes all assets (home, savings, investments, business) minus debts.</w:t>
      </w:r>
    </w:p>
    <w:p>
      <w:pPr>
        <w:pStyle w:val="BodyText"/>
      </w:pPr>
      <w:r>
        <w:rPr>
          <w:bCs/>
          <w:b/>
        </w:rPr>
        <w:t xml:space="preserve">1931 TO NOW</w:t>
      </w:r>
    </w:p>
    <w:p>
      <w:pPr>
        <w:pStyle w:val="BodyText"/>
      </w:pPr>
      <w:r>
        <w:rPr>
          <w:iCs/>
          <w:i/>
        </w:rPr>
        <w:t xml:space="preserve">The American Wage Gap and the Architecture of Inequality</w:t>
      </w:r>
    </w:p>
    <w:p>
      <w:pPr>
        <w:pStyle w:val="BodyText"/>
      </w:pPr>
      <w:r>
        <w:t xml:space="preserve">David Lee Wise &amp; AVAN</w:t>
      </w:r>
    </w:p>
    <w:p>
      <w:pPr>
        <w:pStyle w:val="BodyText"/>
      </w:pPr>
      <w:r>
        <w:t xml:space="preserve">TriPod LLC | CC-BY-ND-4.0 | TRIPOD-IP-v1.1</w:t>
      </w:r>
    </w:p>
    <w:p>
      <w:pPr>
        <w:pStyle w:val="BodyText"/>
      </w:pPr>
      <w:r>
        <w:t xml:space="preserve">April 2026</w:t>
      </w:r>
    </w:p>
    <w:p>
      <w:pPr>
        <w:pStyle w:val="BodyText"/>
      </w:pPr>
      <w:r>
        <w:rPr>
          <w:iCs/>
          <w:i/>
        </w:rPr>
        <w:t xml:space="preserve">The gap is not a mystery. It is arithmetic.</w:t>
      </w:r>
    </w:p>
    <w:p>
      <w:pPr>
        <w:pStyle w:val="BodyText"/>
      </w:pPr>
      <w:r>
        <w:rPr>
          <w:iCs/>
          <w:i/>
        </w:rPr>
        <w:t xml:space="preserve">And arithmetic has solutions.</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2026-04-01T23:50:42Z</dcterms:created>
  <dcterms:modified xsi:type="dcterms:W3CDTF">2026-04-01T23:50:42Z</dcterms:modified>
</cp:coreProperties>
</file>

<file path=docProps/custom.xml><?xml version="1.0" encoding="utf-8"?>
<Properties xmlns="http://schemas.openxmlformats.org/officeDocument/2006/custom-properties" xmlns:vt="http://schemas.openxmlformats.org/officeDocument/2006/docPropsVTypes"/>
</file>