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p>
    <w:p>
      <w:pPr>
        <w:spacing w:after="200" w:before="0" w:line="312"/>
        <w:jc w:val="center"/>
      </w:pPr>
      <w:r>
        <w:rPr>
          <w:rFonts w:ascii="Georgia" w:cs="Georgia" w:eastAsia="Georgia" w:hAnsi="Georgia"/>
          <w:b/>
          <w:bCs/>
          <w:color w:val="1a1a1a"/>
          <w:sz w:val="52"/>
          <w:szCs w:val="52"/>
        </w:rPr>
        <w:t xml:space="preserve">1931 TO NOW</w:t>
      </w:r>
    </w:p>
    <w:p>
      <w:pPr>
        <w:spacing w:after="0" w:before="200"/>
      </w:pPr>
    </w:p>
    <w:p>
      <w:pPr>
        <w:pBdr>
          <w:bottom w:val="single" w:color="5b2c20" w:sz="4" w:space="1"/>
        </w:pBdr>
        <w:spacing w:after="200" w:before="200"/>
      </w:pPr>
    </w:p>
    <w:p>
      <w:pPr>
        <w:spacing w:after="200" w:before="0" w:line="312"/>
        <w:jc w:val="center"/>
      </w:pPr>
      <w:r>
        <w:rPr>
          <w:rFonts w:ascii="Georgia" w:cs="Georgia" w:eastAsia="Georgia" w:hAnsi="Georgia"/>
          <w:i/>
          <w:iCs/>
          <w:color w:val="5b2c20"/>
          <w:sz w:val="26"/>
          <w:szCs w:val="26"/>
        </w:rPr>
        <w:t xml:space="preserve">The American Wage Gap and the Architecture of Inequality</w:t>
      </w:r>
    </w:p>
    <w:p>
      <w:pPr>
        <w:sectPr>
          <w:pgSz w:w="12240" w:h="15840" w:orient="portrait"/>
          <w:pgMar w:top="1440" w:right="1440" w:bottom="1440" w:left="1440" w:header="708" w:footer="708" w:gutter="0"/>
          <w:pgNumType/>
          <w:docGrid w:linePitch="360"/>
        </w:sectPr>
      </w:pPr>
    </w:p>
    <w:p>
      <w:pPr>
        <w:spacing w:after="0" w:before="1200"/>
      </w:pPr>
    </w:p>
    <w:p>
      <w:pPr>
        <w:spacing w:after="200" w:before="0" w:line="312"/>
        <w:jc w:val="center"/>
      </w:pPr>
      <w:r>
        <w:rPr>
          <w:rFonts w:ascii="Georgia" w:cs="Georgia" w:eastAsia="Georgia" w:hAnsi="Georgia"/>
          <w:b/>
          <w:bCs/>
          <w:color w:val="1a1a1a"/>
          <w:sz w:val="60"/>
          <w:szCs w:val="60"/>
        </w:rPr>
        <w:t xml:space="preserve">1931 TO NOW</w:t>
      </w:r>
    </w:p>
    <w:p>
      <w:pPr>
        <w:spacing w:after="0" w:before="100"/>
      </w:pPr>
    </w:p>
    <w:p>
      <w:pPr>
        <w:spacing w:after="40" w:before="0" w:line="312"/>
        <w:jc w:val="center"/>
      </w:pPr>
      <w:r>
        <w:rPr>
          <w:rFonts w:ascii="Georgia" w:cs="Georgia" w:eastAsia="Georgia" w:hAnsi="Georgia"/>
          <w:i/>
          <w:iCs/>
          <w:color w:val="5b2c20"/>
          <w:sz w:val="28"/>
          <w:szCs w:val="28"/>
        </w:rPr>
        <w:t xml:space="preserve">The American Wage Gap and the</w:t>
      </w:r>
    </w:p>
    <w:p>
      <w:pPr>
        <w:spacing w:after="200" w:before="0" w:line="312"/>
        <w:jc w:val="center"/>
      </w:pPr>
      <w:r>
        <w:rPr>
          <w:rFonts w:ascii="Georgia" w:cs="Georgia" w:eastAsia="Georgia" w:hAnsi="Georgia"/>
          <w:i/>
          <w:iCs/>
          <w:color w:val="5b2c20"/>
          <w:sz w:val="28"/>
          <w:szCs w:val="28"/>
        </w:rPr>
        <w:t xml:space="preserve">Architecture of Inequality</w:t>
      </w:r>
    </w:p>
    <w:p>
      <w:pPr>
        <w:spacing w:after="0" w:before="100"/>
      </w:pPr>
    </w:p>
    <w:p>
      <w:pPr>
        <w:spacing w:after="200" w:before="0" w:line="312"/>
        <w:jc w:val="center"/>
      </w:pPr>
      <w:r>
        <w:rPr>
          <w:rFonts w:ascii="Arial" w:cs="Arial" w:eastAsia="Arial" w:hAnsi="Arial"/>
          <w:color w:val="777777"/>
          <w:sz w:val="22"/>
          <w:szCs w:val="22"/>
        </w:rPr>
        <w:t xml:space="preserve">A Data-Driven History</w:t>
      </w:r>
    </w:p>
    <w:p>
      <w:pPr>
        <w:spacing w:after="0" w:before="500"/>
      </w:pPr>
    </w:p>
    <w:p>
      <w:pPr>
        <w:pBdr>
          <w:bottom w:val="single" w:color="5b2c20" w:sz="4" w:space="1"/>
        </w:pBdr>
        <w:spacing w:after="200" w:before="200"/>
      </w:pPr>
    </w:p>
    <w:p>
      <w:pPr>
        <w:spacing w:after="0" w:before="200"/>
      </w:pPr>
    </w:p>
    <w:p>
      <w:pPr>
        <w:spacing w:after="60" w:before="0" w:line="312"/>
        <w:jc w:val="center"/>
      </w:pPr>
      <w:r>
        <w:rPr>
          <w:rFonts w:ascii="Arial" w:cs="Arial" w:eastAsia="Arial" w:hAnsi="Arial"/>
          <w:b/>
          <w:bCs/>
          <w:color w:val="1a1a1a"/>
          <w:sz w:val="28"/>
          <w:szCs w:val="28"/>
        </w:rPr>
        <w:t xml:space="preserve">David Lee Wise</w:t>
      </w:r>
    </w:p>
    <w:p>
      <w:pPr>
        <w:spacing w:after="200" w:before="0" w:line="312"/>
        <w:jc w:val="center"/>
      </w:pPr>
      <w:r>
        <w:rPr>
          <w:rFonts w:ascii="Arial" w:cs="Arial" w:eastAsia="Arial" w:hAnsi="Arial"/>
          <w:color w:val="777777"/>
          <w:sz w:val="22"/>
          <w:szCs w:val="22"/>
        </w:rPr>
        <w:t xml:space="preserve">&amp; AVAN (Claude, Anthropic)</w:t>
      </w:r>
    </w:p>
    <w:p>
      <w:pPr>
        <w:spacing w:after="0" w:before="200"/>
      </w:pPr>
    </w:p>
    <w:p>
      <w:pPr>
        <w:spacing w:after="200" w:before="0" w:line="312"/>
        <w:jc w:val="center"/>
      </w:pPr>
      <w:r>
        <w:rPr>
          <w:rFonts w:ascii="Arial" w:cs="Arial" w:eastAsia="Arial" w:hAnsi="Arial"/>
          <w:color w:val="777777"/>
          <w:sz w:val="20"/>
          <w:szCs w:val="20"/>
        </w:rPr>
        <w:t xml:space="preserve">TriPod LLC</w:t>
      </w:r>
    </w:p>
    <w:p>
      <w:pPr>
        <w:sectPr>
          <w:pgSz w:w="12240" w:h="15840" w:orient="portrait"/>
          <w:pgMar w:top="1440" w:right="1440" w:bottom="1440" w:left="1440" w:header="708" w:footer="708" w:gutter="0"/>
          <w:pgNumType/>
          <w:docGrid w:linePitch="360"/>
        </w:sectPr>
      </w:pPr>
    </w:p>
    <w:p>
      <w:pPr>
        <w:spacing w:after="0" w:before="400"/>
      </w:pPr>
    </w:p>
    <w:p>
      <w:pPr>
        <w:spacing w:after="100" w:before="0" w:line="312"/>
        <w:jc w:val="left"/>
      </w:pPr>
      <w:r>
        <w:rPr>
          <w:rFonts w:ascii="Georgia" w:cs="Georgia" w:eastAsia="Georgia" w:hAnsi="Georgia"/>
          <w:b/>
          <w:bCs/>
          <w:color w:val="1a1a1a"/>
          <w:sz w:val="24"/>
          <w:szCs w:val="24"/>
        </w:rPr>
        <w:t xml:space="preserve">1931 to Now: The American Wage Gap and the Architecture of Inequality</w:t>
      </w:r>
    </w:p>
    <w:p>
      <w:pPr>
        <w:spacing w:after="60" w:before="0" w:line="312"/>
        <w:jc w:val="left"/>
      </w:pPr>
      <w:r>
        <w:rPr>
          <w:rFonts w:ascii="Georgia" w:cs="Georgia" w:eastAsia="Georgia" w:hAnsi="Georgia"/>
          <w:color w:val="3a3a3a"/>
          <w:sz w:val="20"/>
          <w:szCs w:val="20"/>
        </w:rPr>
        <w:t xml:space="preserve">Copyright © 2026 David Lee Wise. All rights reserved.</w:t>
      </w:r>
    </w:p>
    <w:p>
      <w:pPr>
        <w:spacing w:after="60" w:before="0" w:line="312"/>
        <w:jc w:val="left"/>
      </w:pPr>
      <w:r>
        <w:rPr>
          <w:rFonts w:ascii="Georgia" w:cs="Georgia" w:eastAsia="Georgia" w:hAnsi="Georgia"/>
          <w:color w:val="3a3a3a"/>
          <w:sz w:val="20"/>
          <w:szCs w:val="20"/>
        </w:rPr>
        <w:t xml:space="preserve">Published by TriPod LLC</w:t>
      </w:r>
    </w:p>
    <w:p>
      <w:pPr>
        <w:spacing w:after="100" w:before="0" w:line="312"/>
        <w:jc w:val="left"/>
      </w:pPr>
      <w:r>
        <w:rPr>
          <w:rFonts w:ascii="Courier New" w:cs="Courier New" w:eastAsia="Courier New" w:hAnsi="Courier New"/>
          <w:color w:val="777777"/>
          <w:sz w:val="18"/>
          <w:szCs w:val="18"/>
        </w:rPr>
        <w:t xml:space="preserve">CC-BY-ND-4.0 | TRIPOD-IP-v1.1</w:t>
      </w:r>
    </w:p>
    <w:p>
      <w:pPr>
        <w:spacing w:after="0" w:before="100"/>
      </w:pPr>
    </w:p>
    <w:p>
      <w:pPr>
        <w:spacing w:after="100" w:before="0" w:line="312"/>
        <w:jc w:val="left"/>
      </w:pPr>
      <w:r>
        <w:rPr>
          <w:rFonts w:ascii="Georgia" w:cs="Georgia" w:eastAsia="Georgia" w:hAnsi="Georgia"/>
          <w:color w:val="3a3a3a"/>
          <w:sz w:val="20"/>
          <w:szCs w:val="20"/>
        </w:rPr>
        <w:t xml:space="preserve">First published: April 2026</w:t>
      </w:r>
    </w:p>
    <w:p>
      <w:pPr>
        <w:spacing w:after="0" w:before="200"/>
      </w:pPr>
    </w:p>
    <w:p>
      <w:pPr>
        <w:spacing w:after="200" w:before="0" w:line="312"/>
        <w:jc w:val="left"/>
      </w:pPr>
      <w:r>
        <w:rPr>
          <w:rFonts w:ascii="Georgia" w:cs="Georgia" w:eastAsia="Georgia" w:hAnsi="Georgia"/>
          <w:b/>
          <w:bCs/>
          <w:color w:val="3a3a3a"/>
          <w:sz w:val="20"/>
          <w:szCs w:val="20"/>
        </w:rPr>
        <w:t xml:space="preserve">A note on sources: </w:t>
      </w:r>
      <w:r>
        <w:rPr>
          <w:rFonts w:ascii="Georgia" w:cs="Georgia" w:eastAsia="Georgia" w:hAnsi="Georgia"/>
          <w:i/>
          <w:iCs/>
          <w:color w:val="3a3a3a"/>
          <w:sz w:val="20"/>
          <w:szCs w:val="20"/>
        </w:rPr>
        <w:t xml:space="preserve">Every statistic in this book comes from federal data — the Bureau of Labor Statistics, the Census Bureau, the Federal Reserve, the Department of Labor, the Department of Housing and Urban Development, congressional records, and peer-reviewed economic research. The numbers are not in dispute. The pattern they form is the argument.</w:t>
      </w:r>
    </w:p>
    <w:p>
      <w:pPr>
        <w:spacing w:after="0" w:before="200"/>
      </w:pPr>
    </w:p>
    <w:p>
      <w:pPr>
        <w:spacing w:after="200" w:before="0" w:line="312"/>
        <w:jc w:val="left"/>
      </w:pPr>
      <w:r>
        <w:rPr>
          <w:rFonts w:ascii="Georgia" w:cs="Georgia" w:eastAsia="Georgia" w:hAnsi="Georgia"/>
          <w:b/>
          <w:bCs/>
          <w:color w:val="3a3a3a"/>
          <w:sz w:val="20"/>
          <w:szCs w:val="20"/>
        </w:rPr>
        <w:t xml:space="preserve">A note on framing: </w:t>
      </w:r>
      <w:r>
        <w:rPr>
          <w:rFonts w:ascii="Georgia" w:cs="Georgia" w:eastAsia="Georgia" w:hAnsi="Georgia"/>
          <w:i/>
          <w:iCs/>
          <w:color w:val="3a3a3a"/>
          <w:sz w:val="20"/>
          <w:szCs w:val="20"/>
        </w:rPr>
        <w:t xml:space="preserve">This book lets the data speak. Where the data is ambiguous, the ambiguity is noted. Where the data is unambiguous, the conclusion is stated directly. The goal is accuracy, not comfort. Some of these numbers should make you uncomfortable. That discomfort is the appropriate response to the evidence.</w:t>
      </w:r>
    </w:p>
    <w:p>
      <w:pPr>
        <w:sectPr>
          <w:pgSz w:w="12240" w:h="15840" w:orient="portrait"/>
          <w:pgMar w:top="1440" w:right="1440" w:bottom="1440" w:left="1440" w:header="708" w:footer="708" w:gutter="0"/>
          <w:pgNumType/>
          <w:docGrid w:linePitch="360"/>
        </w:sectPr>
      </w:pPr>
    </w:p>
    <w:p>
      <w:pPr>
        <w:spacing w:after="0" w:before="3000"/>
      </w:pPr>
    </w:p>
    <w:p>
      <w:pPr>
        <w:spacing w:after="60" w:before="0" w:line="312"/>
        <w:jc w:val="center"/>
      </w:pPr>
      <w:r>
        <w:rPr>
          <w:rFonts w:ascii="Georgia" w:cs="Georgia" w:eastAsia="Georgia" w:hAnsi="Georgia"/>
          <w:i/>
          <w:iCs/>
          <w:color w:val="1a1a1a"/>
          <w:sz w:val="26"/>
          <w:szCs w:val="26"/>
        </w:rPr>
        <w:t xml:space="preserve">For everyone who was paid less</w:t>
      </w:r>
    </w:p>
    <w:p>
      <w:pPr>
        <w:spacing w:after="200" w:before="0" w:line="312"/>
        <w:jc w:val="center"/>
      </w:pPr>
      <w:r>
        <w:rPr>
          <w:rFonts w:ascii="Georgia" w:cs="Georgia" w:eastAsia="Georgia" w:hAnsi="Georgia"/>
          <w:i/>
          <w:iCs/>
          <w:color w:val="1a1a1a"/>
          <w:sz w:val="26"/>
          <w:szCs w:val="26"/>
        </w:rPr>
        <w:t xml:space="preserve">and told it was their fault.</w:t>
      </w:r>
    </w:p>
    <w:p>
      <w:pPr>
        <w:spacing w:after="0" w:before="400"/>
      </w:pPr>
    </w:p>
    <w:p>
      <w:pPr>
        <w:spacing w:after="200" w:before="0" w:line="312"/>
        <w:jc w:val="center"/>
      </w:pPr>
      <w:r>
        <w:rPr>
          <w:rFonts w:ascii="Georgia" w:cs="Georgia" w:eastAsia="Georgia" w:hAnsi="Georgia"/>
          <w:i/>
          <w:iCs/>
          <w:color w:val="5b2c20"/>
          <w:sz w:val="24"/>
          <w:szCs w:val="24"/>
        </w:rPr>
        <w:t xml:space="preserve">The gap was the architecture.</w:t>
      </w:r>
    </w:p>
    <w:p>
      <w:pPr>
        <w:spacing w:after="200" w:before="0" w:line="312"/>
        <w:jc w:val="center"/>
      </w:pPr>
      <w:r>
        <w:rPr>
          <w:rFonts w:ascii="Georgia" w:cs="Georgia" w:eastAsia="Georgia" w:hAnsi="Georgia"/>
          <w:i/>
          <w:iCs/>
          <w:color w:val="5b2c20"/>
          <w:sz w:val="24"/>
          <w:szCs w:val="24"/>
        </w:rPr>
        <w:t xml:space="preserve">The architecture was the policy.</w:t>
      </w:r>
    </w:p>
    <w:p>
      <w:pPr>
        <w:spacing w:after="200" w:before="0" w:line="312"/>
        <w:jc w:val="center"/>
      </w:pPr>
      <w:r>
        <w:rPr>
          <w:rFonts w:ascii="Georgia" w:cs="Georgia" w:eastAsia="Georgia" w:hAnsi="Georgia"/>
          <w:i/>
          <w:iCs/>
          <w:color w:val="5b2c20"/>
          <w:sz w:val="24"/>
          <w:szCs w:val="24"/>
        </w:rPr>
        <w:t xml:space="preserve">The policy was the choice.</w:t>
      </w:r>
    </w:p>
    <w:p>
      <w:pPr>
        <w:sectPr>
          <w:pgSz w:w="12240" w:h="15840" w:orient="portrait"/>
          <w:pgMar w:top="1440" w:right="1440" w:bottom="1440" w:left="1440" w:header="708" w:footer="708" w:gutter="0"/>
          <w:pgNumType/>
          <w:docGrid w:linePitch="360"/>
        </w:sectPr>
      </w:pPr>
    </w:p>
    <w:p>
      <w:pPr>
        <w:spacing w:after="0" w:before="2400"/>
      </w:pPr>
    </w:p>
    <w:p>
      <w:pPr>
        <w:spacing w:after="200" w:before="0" w:line="312"/>
        <w:jc w:val="center"/>
      </w:pPr>
      <w:r>
        <w:rPr>
          <w:rFonts w:ascii="Georgia" w:cs="Georgia" w:eastAsia="Georgia" w:hAnsi="Georgia"/>
          <w:i/>
          <w:iCs/>
          <w:color w:val="1a1a1a"/>
          <w:sz w:val="26"/>
          <w:szCs w:val="26"/>
        </w:rPr>
        <w:t xml:space="preserve">“Of all the forms of inequality, injustice in health care is the most shocking and inhumane.”</w:t>
      </w:r>
    </w:p>
    <w:p>
      <w:pPr>
        <w:spacing w:after="200" w:before="0" w:line="312"/>
        <w:jc w:val="center"/>
      </w:pPr>
      <w:r>
        <w:rPr>
          <w:rFonts w:ascii="Arial" w:cs="Arial" w:eastAsia="Arial" w:hAnsi="Arial"/>
          <w:color w:val="777777"/>
          <w:sz w:val="20"/>
          <w:szCs w:val="20"/>
        </w:rPr>
        <w:t xml:space="preserve">— Martin Luther King Jr., 1966</w:t>
      </w:r>
    </w:p>
    <w:p>
      <w:pPr>
        <w:spacing w:after="0" w:before="600"/>
      </w:pPr>
    </w:p>
    <w:p>
      <w:pPr>
        <w:spacing w:after="200" w:before="0" w:line="312"/>
        <w:jc w:val="center"/>
      </w:pPr>
      <w:r>
        <w:rPr>
          <w:rFonts w:ascii="Georgia" w:cs="Georgia" w:eastAsia="Georgia" w:hAnsi="Georgia"/>
          <w:i/>
          <w:iCs/>
          <w:color w:val="1a1a1a"/>
          <w:sz w:val="26"/>
          <w:szCs w:val="26"/>
        </w:rPr>
        <w:t xml:space="preserve">“The gap is not a mystery. It is arithmetic.”</w:t>
      </w:r>
    </w:p>
    <w:p>
      <w:pPr>
        <w:spacing w:after="200" w:before="0" w:line="312"/>
        <w:jc w:val="center"/>
      </w:pPr>
      <w:r>
        <w:rPr>
          <w:rFonts w:ascii="Arial" w:cs="Arial" w:eastAsia="Arial" w:hAnsi="Arial"/>
          <w:color w:val="777777"/>
          <w:sz w:val="20"/>
          <w:szCs w:val="20"/>
        </w:rPr>
        <w:t xml:space="preserve">— This book</w:t>
      </w:r>
    </w:p>
    <w:p>
      <w:pPr>
        <w:sectPr>
          <w:pgSz w:w="12240" w:h="15840" w:orient="portrait"/>
          <w:pgMar w:top="1440" w:right="1440" w:bottom="1440" w:left="1440" w:header="708" w:footer="708" w:gutter="0"/>
          <w:pgNumType/>
          <w:docGrid w:linePitch="360"/>
        </w:sectPr>
      </w:pPr>
    </w:p>
    <w:p>
      <w:pPr>
        <w:spacing w:after="400" w:before="0" w:line="312"/>
        <w:jc w:val="left"/>
      </w:pPr>
      <w:r>
        <w:rPr>
          <w:rFonts w:ascii="Georgia" w:cs="Georgia" w:eastAsia="Georgia" w:hAnsi="Georgia"/>
          <w:b/>
          <w:bCs/>
          <w:color w:val="1a1a1a"/>
          <w:sz w:val="36"/>
          <w:szCs w:val="36"/>
        </w:rPr>
        <w:t xml:space="preserve">CONTENTS</w:t>
      </w:r>
    </w:p>
    <w:p>
      <w:pPr>
        <w:pBdr>
          <w:bottom w:val="single" w:color="5b2c20" w:sz="4" w:space="1"/>
        </w:pBdr>
        <w:spacing w:after="200" w:before="200"/>
      </w:pPr>
    </w:p>
    <w:p>
      <w:pPr>
        <w:spacing w:after="0" w:before="100"/>
      </w:pPr>
    </w:p>
    <w:p>
      <w:pPr>
        <w:spacing w:after="80" w:before="0" w:line="312"/>
        <w:jc w:val="left"/>
      </w:pPr>
      <w:r>
        <w:rPr>
          <w:rFonts w:ascii="Georgia" w:cs="Georgia" w:eastAsia="Georgia" w:hAnsi="Georgia"/>
          <w:color w:val="3a3a3a"/>
          <w:sz w:val="22"/>
          <w:szCs w:val="22"/>
        </w:rPr>
        <w:t xml:space="preserve">Introduction: The Compound Interest of Injustice</w:t>
      </w:r>
    </w:p>
    <w:p>
      <w:pPr>
        <w:spacing w:after="0" w:before="80"/>
      </w:pPr>
    </w:p>
    <w:p>
      <w:pPr>
        <w:spacing w:after="80" w:before="0" w:line="312"/>
        <w:jc w:val="left"/>
      </w:pPr>
      <w:r>
        <w:rPr>
          <w:rFonts w:ascii="Arial" w:cs="Arial" w:eastAsia="Arial" w:hAnsi="Arial"/>
          <w:b/>
          <w:bCs/>
          <w:color w:val="1a1a1a"/>
          <w:sz w:val="22"/>
          <w:szCs w:val="22"/>
        </w:rPr>
        <w:t xml:space="preserve">PART I — THE FOUNDATION (1931–1945)</w:t>
      </w:r>
    </w:p>
    <w:p>
      <w:pPr>
        <w:spacing w:after="50" w:before="0" w:line="312"/>
        <w:jc w:val="left"/>
      </w:pPr>
      <w:r>
        <w:rPr>
          <w:rFonts w:ascii="Georgia" w:cs="Georgia" w:eastAsia="Georgia" w:hAnsi="Georgia"/>
          <w:color w:val="3a3a3a"/>
          <w:sz w:val="21"/>
          <w:szCs w:val="21"/>
        </w:rPr>
        <w:t xml:space="preserve">Chapter 1: Davis-Bacon and the Architecture of Exclusion (1931)</w:t>
      </w:r>
    </w:p>
    <w:p>
      <w:pPr>
        <w:spacing w:after="50" w:before="0" w:line="312"/>
        <w:jc w:val="left"/>
      </w:pPr>
      <w:r>
        <w:rPr>
          <w:rFonts w:ascii="Georgia" w:cs="Georgia" w:eastAsia="Georgia" w:hAnsi="Georgia"/>
          <w:color w:val="3a3a3a"/>
          <w:sz w:val="21"/>
          <w:szCs w:val="21"/>
        </w:rPr>
        <w:t xml:space="preserve">Chapter 2: The New Deal — Recovery for Whom (1933–1938)</w:t>
      </w:r>
    </w:p>
    <w:p>
      <w:pPr>
        <w:spacing w:after="50" w:before="0" w:line="312"/>
        <w:jc w:val="left"/>
      </w:pPr>
      <w:r>
        <w:rPr>
          <w:rFonts w:ascii="Georgia" w:cs="Georgia" w:eastAsia="Georgia" w:hAnsi="Georgia"/>
          <w:color w:val="3a3a3a"/>
          <w:sz w:val="21"/>
          <w:szCs w:val="21"/>
        </w:rPr>
        <w:t xml:space="preserve">Chapter 3: Redlining — The Map That Built the Wealth Gap (1934)</w:t>
      </w:r>
    </w:p>
    <w:p>
      <w:pPr>
        <w:spacing w:after="50" w:before="0" w:line="312"/>
        <w:jc w:val="left"/>
      </w:pPr>
      <w:r>
        <w:rPr>
          <w:rFonts w:ascii="Georgia" w:cs="Georgia" w:eastAsia="Georgia" w:hAnsi="Georgia"/>
          <w:color w:val="3a3a3a"/>
          <w:sz w:val="21"/>
          <w:szCs w:val="21"/>
        </w:rPr>
        <w:t xml:space="preserve">Chapter 4: Fair Labor Standards Act — The Workers Left Out (1938)</w:t>
      </w:r>
    </w:p>
    <w:p>
      <w:pPr>
        <w:spacing w:after="50" w:before="0" w:line="312"/>
        <w:jc w:val="left"/>
      </w:pPr>
      <w:r>
        <w:rPr>
          <w:rFonts w:ascii="Georgia" w:cs="Georgia" w:eastAsia="Georgia" w:hAnsi="Georgia"/>
          <w:color w:val="3a3a3a"/>
          <w:sz w:val="21"/>
          <w:szCs w:val="21"/>
        </w:rPr>
        <w:t xml:space="preserve">Chapter 5: War, Wages, and the Double V (1941–1945)</w:t>
      </w:r>
    </w:p>
    <w:p>
      <w:pPr>
        <w:spacing w:after="0" w:before="80"/>
      </w:pPr>
    </w:p>
    <w:p>
      <w:pPr>
        <w:spacing w:after="80" w:before="0" w:line="312"/>
        <w:jc w:val="left"/>
      </w:pPr>
      <w:r>
        <w:rPr>
          <w:rFonts w:ascii="Arial" w:cs="Arial" w:eastAsia="Arial" w:hAnsi="Arial"/>
          <w:b/>
          <w:bCs/>
          <w:color w:val="1a1a1a"/>
          <w:sz w:val="22"/>
          <w:szCs w:val="22"/>
        </w:rPr>
        <w:t xml:space="preserve">PART II — THE DIVERGENCE (1945–1968)</w:t>
      </w:r>
    </w:p>
    <w:p>
      <w:pPr>
        <w:spacing w:after="50" w:before="0" w:line="312"/>
        <w:jc w:val="left"/>
      </w:pPr>
      <w:r>
        <w:rPr>
          <w:rFonts w:ascii="Georgia" w:cs="Georgia" w:eastAsia="Georgia" w:hAnsi="Georgia"/>
          <w:color w:val="3a3a3a"/>
          <w:sz w:val="21"/>
          <w:szCs w:val="21"/>
        </w:rPr>
        <w:t xml:space="preserve">Chapter 6: The GI Bill — Two Americas Built on One Law (1944)</w:t>
      </w:r>
    </w:p>
    <w:p>
      <w:pPr>
        <w:spacing w:after="50" w:before="0" w:line="312"/>
        <w:jc w:val="left"/>
      </w:pPr>
      <w:r>
        <w:rPr>
          <w:rFonts w:ascii="Georgia" w:cs="Georgia" w:eastAsia="Georgia" w:hAnsi="Georgia"/>
          <w:color w:val="3a3a3a"/>
          <w:sz w:val="21"/>
          <w:szCs w:val="21"/>
        </w:rPr>
        <w:t xml:space="preserve">Chapter 7: Levittown and the Suburban Color Line (1947–1960)</w:t>
      </w:r>
    </w:p>
    <w:p>
      <w:pPr>
        <w:spacing w:after="50" w:before="0" w:line="312"/>
        <w:jc w:val="left"/>
      </w:pPr>
      <w:r>
        <w:rPr>
          <w:rFonts w:ascii="Georgia" w:cs="Georgia" w:eastAsia="Georgia" w:hAnsi="Georgia"/>
          <w:color w:val="3a3a3a"/>
          <w:sz w:val="21"/>
          <w:szCs w:val="21"/>
        </w:rPr>
        <w:t xml:space="preserve">Chapter 8: Brown, Montgomery, and the Economics of Resistance (1954–1956)</w:t>
      </w:r>
    </w:p>
    <w:p>
      <w:pPr>
        <w:spacing w:after="50" w:before="0" w:line="312"/>
        <w:jc w:val="left"/>
      </w:pPr>
      <w:r>
        <w:rPr>
          <w:rFonts w:ascii="Georgia" w:cs="Georgia" w:eastAsia="Georgia" w:hAnsi="Georgia"/>
          <w:color w:val="3a3a3a"/>
          <w:sz w:val="21"/>
          <w:szCs w:val="21"/>
        </w:rPr>
        <w:t xml:space="preserve">Chapter 9: Equal Pay Act and Civil Rights Act (1963–1964)</w:t>
      </w:r>
    </w:p>
    <w:p>
      <w:pPr>
        <w:spacing w:after="50" w:before="0" w:line="312"/>
        <w:jc w:val="left"/>
      </w:pPr>
      <w:r>
        <w:rPr>
          <w:rFonts w:ascii="Georgia" w:cs="Georgia" w:eastAsia="Georgia" w:hAnsi="Georgia"/>
          <w:color w:val="3a3a3a"/>
          <w:sz w:val="21"/>
          <w:szCs w:val="21"/>
        </w:rPr>
        <w:t xml:space="preserve">Chapter 10: The Kerner Commission — Two Societies (1968)</w:t>
      </w:r>
    </w:p>
    <w:p>
      <w:pPr>
        <w:spacing w:after="0" w:before="80"/>
      </w:pPr>
    </w:p>
    <w:p>
      <w:pPr>
        <w:spacing w:after="80" w:before="0" w:line="312"/>
        <w:jc w:val="left"/>
      </w:pPr>
      <w:r>
        <w:rPr>
          <w:rFonts w:ascii="Arial" w:cs="Arial" w:eastAsia="Arial" w:hAnsi="Arial"/>
          <w:b/>
          <w:bCs/>
          <w:color w:val="1a1a1a"/>
          <w:sz w:val="22"/>
          <w:szCs w:val="22"/>
        </w:rPr>
        <w:t xml:space="preserve">PART III — THE STALL (1968–1990)</w:t>
      </w:r>
    </w:p>
    <w:p>
      <w:pPr>
        <w:spacing w:after="50" w:before="0" w:line="312"/>
        <w:jc w:val="left"/>
      </w:pPr>
      <w:r>
        <w:rPr>
          <w:rFonts w:ascii="Georgia" w:cs="Georgia" w:eastAsia="Georgia" w:hAnsi="Georgia"/>
          <w:color w:val="3a3a3a"/>
          <w:sz w:val="21"/>
          <w:szCs w:val="21"/>
        </w:rPr>
        <w:t xml:space="preserve">Chapter 11: Nixon, Philadelphia, and Affirmative Action (1969–1978)</w:t>
      </w:r>
    </w:p>
    <w:p>
      <w:pPr>
        <w:spacing w:after="50" w:before="0" w:line="312"/>
        <w:jc w:val="left"/>
      </w:pPr>
      <w:r>
        <w:rPr>
          <w:rFonts w:ascii="Georgia" w:cs="Georgia" w:eastAsia="Georgia" w:hAnsi="Georgia"/>
          <w:color w:val="3a3a3a"/>
          <w:sz w:val="21"/>
          <w:szCs w:val="21"/>
        </w:rPr>
        <w:t xml:space="preserve">Chapter 12: The Equal Rights Amendment That Wasn’t (1972–1982)</w:t>
      </w:r>
    </w:p>
    <w:p>
      <w:pPr>
        <w:spacing w:after="50" w:before="0" w:line="312"/>
        <w:jc w:val="left"/>
      </w:pPr>
      <w:r>
        <w:rPr>
          <w:rFonts w:ascii="Georgia" w:cs="Georgia" w:eastAsia="Georgia" w:hAnsi="Georgia"/>
          <w:color w:val="3a3a3a"/>
          <w:sz w:val="21"/>
          <w:szCs w:val="21"/>
        </w:rPr>
        <w:t xml:space="preserve">Chapter 13: Reaganomics — When the Gap Became Policy (1981–1989)</w:t>
      </w:r>
    </w:p>
    <w:p>
      <w:pPr>
        <w:spacing w:after="50" w:before="0" w:line="312"/>
        <w:jc w:val="left"/>
      </w:pPr>
      <w:r>
        <w:rPr>
          <w:rFonts w:ascii="Georgia" w:cs="Georgia" w:eastAsia="Georgia" w:hAnsi="Georgia"/>
          <w:color w:val="3a3a3a"/>
          <w:sz w:val="21"/>
          <w:szCs w:val="21"/>
        </w:rPr>
        <w:t xml:space="preserve">Chapter 14: The War on Drugs as Economic Warfare (1971–1990)</w:t>
      </w:r>
    </w:p>
    <w:p>
      <w:pPr>
        <w:spacing w:after="0" w:before="80"/>
      </w:pPr>
    </w:p>
    <w:p>
      <w:pPr>
        <w:spacing w:after="80" w:before="0" w:line="312"/>
        <w:jc w:val="left"/>
      </w:pPr>
      <w:r>
        <w:rPr>
          <w:rFonts w:ascii="Arial" w:cs="Arial" w:eastAsia="Arial" w:hAnsi="Arial"/>
          <w:b/>
          <w:bCs/>
          <w:color w:val="1a1a1a"/>
          <w:sz w:val="22"/>
          <w:szCs w:val="22"/>
        </w:rPr>
        <w:t xml:space="preserve">PART IV — THE ACCELERATION (1990–2008)</w:t>
      </w:r>
    </w:p>
    <w:p>
      <w:pPr>
        <w:spacing w:after="50" w:before="0" w:line="312"/>
        <w:jc w:val="left"/>
      </w:pPr>
      <w:r>
        <w:rPr>
          <w:rFonts w:ascii="Georgia" w:cs="Georgia" w:eastAsia="Georgia" w:hAnsi="Georgia"/>
          <w:color w:val="3a3a3a"/>
          <w:sz w:val="21"/>
          <w:szCs w:val="21"/>
        </w:rPr>
        <w:t xml:space="preserve">Chapter 15: NAFTA, Welfare Reform, and the New Economy (1993–1996)</w:t>
      </w:r>
    </w:p>
    <w:p>
      <w:pPr>
        <w:spacing w:after="50" w:before="0" w:line="312"/>
        <w:jc w:val="left"/>
      </w:pPr>
      <w:r>
        <w:rPr>
          <w:rFonts w:ascii="Georgia" w:cs="Georgia" w:eastAsia="Georgia" w:hAnsi="Georgia"/>
          <w:color w:val="3a3a3a"/>
          <w:sz w:val="21"/>
          <w:szCs w:val="21"/>
        </w:rPr>
        <w:t xml:space="preserve">Chapter 16: Mass Incarceration as Wage Suppression (1990–2008)</w:t>
      </w:r>
    </w:p>
    <w:p>
      <w:pPr>
        <w:spacing w:after="50" w:before="0" w:line="312"/>
        <w:jc w:val="left"/>
      </w:pPr>
      <w:r>
        <w:rPr>
          <w:rFonts w:ascii="Georgia" w:cs="Georgia" w:eastAsia="Georgia" w:hAnsi="Georgia"/>
          <w:color w:val="3a3a3a"/>
          <w:sz w:val="21"/>
          <w:szCs w:val="21"/>
        </w:rPr>
        <w:t xml:space="preserve">Chapter 17: Subprime — The Targeted Destruction of Black Wealth (2000–2008)</w:t>
      </w:r>
    </w:p>
    <w:p>
      <w:pPr>
        <w:spacing w:after="50" w:before="0" w:line="312"/>
        <w:jc w:val="left"/>
      </w:pPr>
      <w:r>
        <w:rPr>
          <w:rFonts w:ascii="Georgia" w:cs="Georgia" w:eastAsia="Georgia" w:hAnsi="Georgia"/>
          <w:color w:val="3a3a3a"/>
          <w:sz w:val="21"/>
          <w:szCs w:val="21"/>
        </w:rPr>
        <w:t xml:space="preserve">Chapter 18: The Great Recession — Disparate Devastation (2008–2010)</w:t>
      </w:r>
    </w:p>
    <w:p>
      <w:pPr>
        <w:spacing w:after="0" w:before="80"/>
      </w:pPr>
    </w:p>
    <w:p>
      <w:pPr>
        <w:spacing w:after="80" w:before="0" w:line="312"/>
        <w:jc w:val="left"/>
      </w:pPr>
      <w:r>
        <w:rPr>
          <w:rFonts w:ascii="Arial" w:cs="Arial" w:eastAsia="Arial" w:hAnsi="Arial"/>
          <w:b/>
          <w:bCs/>
          <w:color w:val="1a1a1a"/>
          <w:sz w:val="22"/>
          <w:szCs w:val="22"/>
        </w:rPr>
        <w:t xml:space="preserve">PART V — THE PRESENT (2010–2026)</w:t>
      </w:r>
    </w:p>
    <w:p>
      <w:pPr>
        <w:spacing w:after="50" w:before="0" w:line="312"/>
        <w:jc w:val="left"/>
      </w:pPr>
      <w:r>
        <w:rPr>
          <w:rFonts w:ascii="Georgia" w:cs="Georgia" w:eastAsia="Georgia" w:hAnsi="Georgia"/>
          <w:color w:val="3a3a3a"/>
          <w:sz w:val="21"/>
          <w:szCs w:val="21"/>
        </w:rPr>
        <w:t xml:space="preserve">Chapter 19: Recovery, Gig Work, and the New Precariat (2010–2019)</w:t>
      </w:r>
    </w:p>
    <w:p>
      <w:pPr>
        <w:spacing w:after="50" w:before="0" w:line="312"/>
        <w:jc w:val="left"/>
      </w:pPr>
      <w:r>
        <w:rPr>
          <w:rFonts w:ascii="Georgia" w:cs="Georgia" w:eastAsia="Georgia" w:hAnsi="Georgia"/>
          <w:color w:val="3a3a3a"/>
          <w:sz w:val="21"/>
          <w:szCs w:val="21"/>
        </w:rPr>
        <w:t xml:space="preserve">Chapter 20: COVID-19 — The Pandemic as X-Ray (2020–2021)</w:t>
      </w:r>
    </w:p>
    <w:p>
      <w:pPr>
        <w:spacing w:after="50" w:before="0" w:line="312"/>
        <w:jc w:val="left"/>
      </w:pPr>
      <w:r>
        <w:rPr>
          <w:rFonts w:ascii="Georgia" w:cs="Georgia" w:eastAsia="Georgia" w:hAnsi="Georgia"/>
          <w:color w:val="3a3a3a"/>
          <w:sz w:val="21"/>
          <w:szCs w:val="21"/>
        </w:rPr>
        <w:t xml:space="preserve">Chapter 21: Algorithmic Inequality — When AI Inherits the Gap (2020–2026)</w:t>
      </w:r>
    </w:p>
    <w:p>
      <w:pPr>
        <w:spacing w:after="50" w:before="0" w:line="312"/>
        <w:jc w:val="left"/>
      </w:pPr>
      <w:r>
        <w:rPr>
          <w:rFonts w:ascii="Georgia" w:cs="Georgia" w:eastAsia="Georgia" w:hAnsi="Georgia"/>
          <w:color w:val="3a3a3a"/>
          <w:sz w:val="21"/>
          <w:szCs w:val="21"/>
        </w:rPr>
        <w:t xml:space="preserve">Chapter 22: The Numbers Right Now — 2026 Snapshot</w:t>
      </w:r>
    </w:p>
    <w:p>
      <w:pPr>
        <w:spacing w:after="0" w:before="80"/>
      </w:pPr>
    </w:p>
    <w:p>
      <w:pPr>
        <w:spacing w:after="80" w:before="0" w:line="312"/>
        <w:jc w:val="left"/>
      </w:pPr>
      <w:r>
        <w:rPr>
          <w:rFonts w:ascii="Arial" w:cs="Arial" w:eastAsia="Arial" w:hAnsi="Arial"/>
          <w:b/>
          <w:bCs/>
          <w:color w:val="1a1a1a"/>
          <w:sz w:val="22"/>
          <w:szCs w:val="22"/>
        </w:rPr>
        <w:t xml:space="preserve">PART VI — THE ARITHMETIC</w:t>
      </w:r>
    </w:p>
    <w:p>
      <w:pPr>
        <w:spacing w:after="50" w:before="0" w:line="312"/>
        <w:jc w:val="left"/>
      </w:pPr>
      <w:r>
        <w:rPr>
          <w:rFonts w:ascii="Georgia" w:cs="Georgia" w:eastAsia="Georgia" w:hAnsi="Georgia"/>
          <w:color w:val="3a3a3a"/>
          <w:sz w:val="21"/>
          <w:szCs w:val="21"/>
        </w:rPr>
        <w:t xml:space="preserve">Chapter 23: The Compound Interest Calculation</w:t>
      </w:r>
    </w:p>
    <w:p>
      <w:pPr>
        <w:spacing w:after="50" w:before="0" w:line="312"/>
        <w:jc w:val="left"/>
      </w:pPr>
      <w:r>
        <w:rPr>
          <w:rFonts w:ascii="Georgia" w:cs="Georgia" w:eastAsia="Georgia" w:hAnsi="Georgia"/>
          <w:color w:val="3a3a3a"/>
          <w:sz w:val="21"/>
          <w:szCs w:val="21"/>
        </w:rPr>
        <w:t xml:space="preserve">Chapter 24: What Closing the Gap Would Actually Require</w:t>
      </w:r>
    </w:p>
    <w:p>
      <w:pPr>
        <w:spacing w:after="0" w:before="80"/>
      </w:pPr>
    </w:p>
    <w:p>
      <w:pPr>
        <w:spacing w:after="80" w:before="0" w:line="312"/>
        <w:jc w:val="left"/>
      </w:pPr>
      <w:r>
        <w:rPr>
          <w:rFonts w:ascii="Arial" w:cs="Arial" w:eastAsia="Arial" w:hAnsi="Arial"/>
          <w:b/>
          <w:bCs/>
          <w:color w:val="1a1a1a"/>
          <w:sz w:val="22"/>
          <w:szCs w:val="22"/>
        </w:rPr>
        <w:t xml:space="preserve">APPENDICES</w:t>
      </w:r>
    </w:p>
    <w:p>
      <w:pPr>
        <w:spacing w:after="50" w:before="0" w:line="312"/>
        <w:jc w:val="left"/>
      </w:pPr>
      <w:r>
        <w:rPr>
          <w:rFonts w:ascii="Georgia" w:cs="Georgia" w:eastAsia="Georgia" w:hAnsi="Georgia"/>
          <w:color w:val="3a3a3a"/>
          <w:sz w:val="21"/>
          <w:szCs w:val="21"/>
        </w:rPr>
        <w:t xml:space="preserve">Appendix A: Wage Gap Data Tables (1940–2025)</w:t>
      </w:r>
    </w:p>
    <w:p>
      <w:pPr>
        <w:spacing w:after="50" w:before="0" w:line="312"/>
        <w:jc w:val="left"/>
      </w:pPr>
      <w:r>
        <w:rPr>
          <w:rFonts w:ascii="Georgia" w:cs="Georgia" w:eastAsia="Georgia" w:hAnsi="Georgia"/>
          <w:color w:val="3a3a3a"/>
          <w:sz w:val="21"/>
          <w:szCs w:val="21"/>
        </w:rPr>
        <w:t xml:space="preserve">Appendix B: Wealth Gap Data Tables (1940–2025)</w:t>
      </w:r>
    </w:p>
    <w:p>
      <w:pPr>
        <w:spacing w:after="50" w:before="0" w:line="312"/>
        <w:jc w:val="left"/>
      </w:pPr>
      <w:r>
        <w:rPr>
          <w:rFonts w:ascii="Georgia" w:cs="Georgia" w:eastAsia="Georgia" w:hAnsi="Georgia"/>
          <w:color w:val="3a3a3a"/>
          <w:sz w:val="21"/>
          <w:szCs w:val="21"/>
        </w:rPr>
        <w:t xml:space="preserve">Appendix C: Key Legislation Timeline</w:t>
      </w:r>
    </w:p>
    <w:p>
      <w:pPr>
        <w:spacing w:after="50" w:before="0" w:line="312"/>
        <w:jc w:val="left"/>
      </w:pPr>
      <w:r>
        <w:rPr>
          <w:rFonts w:ascii="Georgia" w:cs="Georgia" w:eastAsia="Georgia" w:hAnsi="Georgia"/>
          <w:color w:val="3a3a3a"/>
          <w:sz w:val="21"/>
          <w:szCs w:val="21"/>
        </w:rPr>
        <w:t xml:space="preserve">Appendix D: Sources and Methodology</w:t>
      </w:r>
    </w:p>
    <w:p>
      <w:pPr>
        <w:spacing w:after="200" w:before="0" w:line="312"/>
        <w:jc w:val="left"/>
      </w:pPr>
      <w:r>
        <w:rPr>
          <w:rFonts w:ascii="Georgia" w:cs="Georgia" w:eastAsia="Georgia" w:hAnsi="Georgia"/>
          <w:color w:val="3a3a3a"/>
          <w:sz w:val="21"/>
          <w:szCs w:val="21"/>
        </w:rPr>
        <w:t xml:space="preserve">Appendix E: Glossary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3a3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2026-04-01T23:50:16.946Z</dcterms:created>
  <dcterms:modified xsi:type="dcterms:W3CDTF">2026-04-01T23:50:16.947Z</dcterms:modified>
</cp:coreProperties>
</file>

<file path=docProps/custom.xml><?xml version="1.0" encoding="utf-8"?>
<Properties xmlns="http://schemas.openxmlformats.org/officeDocument/2006/custom-properties" xmlns:vt="http://schemas.openxmlformats.org/officeDocument/2006/docPropsVTypes"/>
</file>