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Georgia" w:cs="Georgia" w:eastAsia="Georgia" w:hAnsi="Georgia"/>
          <w:b/>
          <w:bCs/>
          <w:color w:val="1a1a1a"/>
          <w:sz w:val="36"/>
          <w:szCs w:val="36"/>
        </w:rPr>
        <w:t xml:space="preserve">Introduction: The Compound Interest of Injustice</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racial wealth gap in America is not a mystery. It is not a cultural phenomenon. It is not explained by individual choices, work ethic, or educational attainment. It is the predictable, mathematically inevitable result of ninety-five years of policy decisions that systematically excluded non-white Americans from wealth-building mechanisms while subsidizing white wealth accumulation with federal dollars.</w:t>
      </w:r>
    </w:p>
    <w:p>
      <w:pPr>
        <w:spacing w:after="200" w:before="0" w:line="312"/>
        <w:jc w:val="both"/>
      </w:pPr>
      <w:r>
        <w:rPr>
          <w:rFonts w:ascii="Georgia" w:cs="Georgia" w:eastAsia="Georgia" w:hAnsi="Georgia"/>
          <w:color w:val="3a3a3a"/>
          <w:sz w:val="24"/>
          <w:szCs w:val="24"/>
        </w:rPr>
        <w:t xml:space="preserve">Here is the core arithmetic: if you pay one group of workers 60 cents for every dollar you pay another group, and you do this for 95 years, and the underpaid group is simultaneously excluded from homeownership (the primary wealth-building vehicle for working Americans), excluded from higher education subsidies, excluded from union membership, excluded from business loans, and disproportionately incarcerated (removing them from the labor force entirely) — the result is not a gap. It is a chasm. And the chasm is not closing. It is widening.</w:t>
      </w:r>
    </w:p>
    <w:p>
      <w:pPr>
        <w:pStyle w:val="Heading2"/>
        <w:spacing w:after="200" w:before="280"/>
      </w:pPr>
      <w:r>
        <w:rPr>
          <w:rFonts w:ascii="Georgia" w:cs="Georgia" w:eastAsia="Georgia" w:hAnsi="Georgia"/>
          <w:b/>
          <w:bCs/>
          <w:color w:val="1a1a1a"/>
          <w:sz w:val="30"/>
          <w:szCs w:val="30"/>
        </w:rPr>
        <w:t xml:space="preserve">The Numbers in Brief</w:t>
      </w:r>
    </w:p>
    <w:p>
      <w:pPr>
        <w:spacing w:after="80" w:before="0" w:line="312"/>
        <w:jc w:val="both"/>
      </w:pPr>
      <w:r>
        <w:rPr>
          <w:rFonts w:ascii="Georgia" w:cs="Georgia" w:eastAsia="Georgia" w:hAnsi="Georgia"/>
          <w:b/>
          <w:bCs/>
          <w:color w:val="3a3a3a"/>
          <w:sz w:val="24"/>
          <w:szCs w:val="24"/>
        </w:rPr>
        <w:t xml:space="preserve">Median white household wealth (2022): </w:t>
      </w:r>
      <w:r>
        <w:rPr>
          <w:rFonts w:ascii="Georgia" w:cs="Georgia" w:eastAsia="Georgia" w:hAnsi="Georgia"/>
          <w:color w:val="3a3a3a"/>
          <w:sz w:val="24"/>
          <w:szCs w:val="24"/>
        </w:rPr>
        <w:t xml:space="preserve">$285,000. Source: Federal Reserve Survey of Consumer Finances.</w:t>
      </w:r>
    </w:p>
    <w:p>
      <w:pPr>
        <w:spacing w:after="80" w:before="0" w:line="312"/>
        <w:jc w:val="both"/>
      </w:pPr>
      <w:r>
        <w:rPr>
          <w:rFonts w:ascii="Georgia" w:cs="Georgia" w:eastAsia="Georgia" w:hAnsi="Georgia"/>
          <w:b/>
          <w:bCs/>
          <w:color w:val="3a3a3a"/>
          <w:sz w:val="24"/>
          <w:szCs w:val="24"/>
        </w:rPr>
        <w:t xml:space="preserve">Median Black household wealth (2022): </w:t>
      </w:r>
      <w:r>
        <w:rPr>
          <w:rFonts w:ascii="Georgia" w:cs="Georgia" w:eastAsia="Georgia" w:hAnsi="Georgia"/>
          <w:color w:val="3a3a3a"/>
          <w:sz w:val="24"/>
          <w:szCs w:val="24"/>
        </w:rPr>
        <w:t xml:space="preserve">$44,900. Source: Federal Reserve Survey of Consumer Finances.</w:t>
      </w:r>
    </w:p>
    <w:p>
      <w:pPr>
        <w:spacing w:after="80" w:before="0" w:line="312"/>
        <w:jc w:val="both"/>
      </w:pPr>
      <w:r>
        <w:rPr>
          <w:rFonts w:ascii="Georgia" w:cs="Georgia" w:eastAsia="Georgia" w:hAnsi="Georgia"/>
          <w:b/>
          <w:bCs/>
          <w:color w:val="3a3a3a"/>
          <w:sz w:val="24"/>
          <w:szCs w:val="24"/>
        </w:rPr>
        <w:t xml:space="preserve">Ratio: </w:t>
      </w:r>
      <w:r>
        <w:rPr>
          <w:rFonts w:ascii="Georgia" w:cs="Georgia" w:eastAsia="Georgia" w:hAnsi="Georgia"/>
          <w:color w:val="3a3a3a"/>
          <w:sz w:val="24"/>
          <w:szCs w:val="24"/>
        </w:rPr>
        <w:t xml:space="preserve">6.3 to 1. For every dollar of wealth held by the median Black household, the median white household holds $6.30.</w:t>
      </w:r>
    </w:p>
    <w:p>
      <w:pPr>
        <w:spacing w:after="80" w:before="0" w:line="312"/>
        <w:jc w:val="both"/>
      </w:pPr>
      <w:r>
        <w:rPr>
          <w:rFonts w:ascii="Georgia" w:cs="Georgia" w:eastAsia="Georgia" w:hAnsi="Georgia"/>
          <w:b/>
          <w:bCs/>
          <w:color w:val="3a3a3a"/>
          <w:sz w:val="24"/>
          <w:szCs w:val="24"/>
        </w:rPr>
        <w:t xml:space="preserve">Median Hispanic household wealth (2022): </w:t>
      </w:r>
      <w:r>
        <w:rPr>
          <w:rFonts w:ascii="Georgia" w:cs="Georgia" w:eastAsia="Georgia" w:hAnsi="Georgia"/>
          <w:color w:val="3a3a3a"/>
          <w:sz w:val="24"/>
          <w:szCs w:val="24"/>
        </w:rPr>
        <w:t xml:space="preserve">$61,600. Ratio to white: 4.6 to 1.</w:t>
      </w:r>
    </w:p>
    <w:p>
      <w:pPr>
        <w:spacing w:after="80" w:before="0" w:line="312"/>
        <w:jc w:val="both"/>
      </w:pPr>
      <w:r>
        <w:rPr>
          <w:rFonts w:ascii="Georgia" w:cs="Georgia" w:eastAsia="Georgia" w:hAnsi="Georgia"/>
          <w:b/>
          <w:bCs/>
          <w:color w:val="3a3a3a"/>
          <w:sz w:val="24"/>
          <w:szCs w:val="24"/>
        </w:rPr>
        <w:t xml:space="preserve">Women’s earnings as percentage of men’s (2024): </w:t>
      </w:r>
      <w:r>
        <w:rPr>
          <w:rFonts w:ascii="Georgia" w:cs="Georgia" w:eastAsia="Georgia" w:hAnsi="Georgia"/>
          <w:color w:val="3a3a3a"/>
          <w:sz w:val="24"/>
          <w:szCs w:val="24"/>
        </w:rPr>
        <w:t xml:space="preserve">83.6 cents per dollar. Source: Bureau of Labor Statistics.</w:t>
      </w:r>
    </w:p>
    <w:p>
      <w:pPr>
        <w:spacing w:after="80" w:before="0" w:line="312"/>
        <w:jc w:val="both"/>
      </w:pPr>
      <w:r>
        <w:rPr>
          <w:rFonts w:ascii="Georgia" w:cs="Georgia" w:eastAsia="Georgia" w:hAnsi="Georgia"/>
          <w:b/>
          <w:bCs/>
          <w:color w:val="3a3a3a"/>
          <w:sz w:val="24"/>
          <w:szCs w:val="24"/>
        </w:rPr>
        <w:t xml:space="preserve">Black women’s earnings as percentage of white men’s (2024): </w:t>
      </w:r>
      <w:r>
        <w:rPr>
          <w:rFonts w:ascii="Georgia" w:cs="Georgia" w:eastAsia="Georgia" w:hAnsi="Georgia"/>
          <w:color w:val="3a3a3a"/>
          <w:sz w:val="24"/>
          <w:szCs w:val="24"/>
        </w:rPr>
        <w:t xml:space="preserve">69 cents per dollar.</w:t>
      </w:r>
    </w:p>
    <w:p>
      <w:pPr>
        <w:spacing w:after="200" w:before="0" w:line="312"/>
        <w:jc w:val="both"/>
      </w:pPr>
      <w:r>
        <w:rPr>
          <w:rFonts w:ascii="Georgia" w:cs="Georgia" w:eastAsia="Georgia" w:hAnsi="Georgia"/>
          <w:b/>
          <w:bCs/>
          <w:color w:val="3a3a3a"/>
          <w:sz w:val="24"/>
          <w:szCs w:val="24"/>
        </w:rPr>
        <w:t xml:space="preserve">Hispanic women’s earnings as percentage of white men’s (2024): </w:t>
      </w:r>
      <w:r>
        <w:rPr>
          <w:rFonts w:ascii="Georgia" w:cs="Georgia" w:eastAsia="Georgia" w:hAnsi="Georgia"/>
          <w:color w:val="3a3a3a"/>
          <w:sz w:val="24"/>
          <w:szCs w:val="24"/>
        </w:rPr>
        <w:t xml:space="preserve">57 cents per dollar.</w:t>
      </w:r>
    </w:p>
    <w:p>
      <w:pPr>
        <w:spacing w:after="200" w:before="0" w:line="312"/>
        <w:jc w:val="both"/>
      </w:pPr>
      <w:r>
        <w:rPr>
          <w:rFonts w:ascii="Georgia" w:cs="Georgia" w:eastAsia="Georgia" w:hAnsi="Georgia"/>
          <w:color w:val="3a3a3a"/>
          <w:sz w:val="24"/>
          <w:szCs w:val="24"/>
        </w:rPr>
        <w:t xml:space="preserve">These numbers did not happen by accident. Every one of them traces to identifiable policy decisions made between 1931 and today. This book traces those decisions, documents their effects with federal data, and calculates the compound cost.</w:t>
      </w:r>
    </w:p>
    <w:p>
      <w:pPr>
        <w:spacing w:after="200" w:before="0" w:line="312"/>
        <w:jc w:val="both"/>
      </w:pPr>
      <w:r>
        <w:rPr>
          <w:rFonts w:ascii="Georgia" w:cs="Georgia" w:eastAsia="Georgia" w:hAnsi="Georgia"/>
          <w:b/>
          <w:bCs/>
          <w:color w:val="3a3a3a"/>
          <w:sz w:val="24"/>
          <w:szCs w:val="24"/>
        </w:rPr>
        <w:t xml:space="preserve">The gap is not a mystery. It is arithmetic.</w:t>
      </w:r>
    </w:p>
    <w:p>
      <w:r>
        <w:br w:type="page"/>
      </w:r>
    </w:p>
    <w:p>
      <w:pPr>
        <w:spacing w:after="0" w:before="2000"/>
      </w:pPr>
    </w:p>
    <w:p>
      <w:pPr>
        <w:spacing w:after="100" w:before="0" w:line="312"/>
        <w:jc w:val="center"/>
      </w:pPr>
      <w:r>
        <w:rPr>
          <w:rFonts w:ascii="Arial" w:cs="Arial" w:eastAsia="Arial" w:hAnsi="Arial"/>
          <w:b/>
          <w:bCs/>
          <w:color w:val="1a1a1a"/>
          <w:sz w:val="40"/>
          <w:szCs w:val="40"/>
        </w:rPr>
        <w:t xml:space="preserve">PART I</w:t>
      </w:r>
    </w:p>
    <w:p>
      <w:pPr>
        <w:pBdr>
          <w:bottom w:val="single" w:color="5b2c20" w:sz="4" w:space="1"/>
        </w:pBdr>
        <w:spacing w:after="200" w:before="200"/>
      </w:pPr>
    </w:p>
    <w:p>
      <w:pPr>
        <w:spacing w:after="200" w:before="0" w:line="312"/>
        <w:jc w:val="center"/>
      </w:pPr>
      <w:r>
        <w:rPr>
          <w:rFonts w:ascii="Georgia" w:cs="Georgia" w:eastAsia="Georgia" w:hAnsi="Georgia"/>
          <w:color w:val="5b2c20"/>
          <w:sz w:val="32"/>
          <w:szCs w:val="32"/>
        </w:rPr>
        <w:t xml:space="preserve">THE FOUNDATION (1931–1945)</w:t>
      </w:r>
    </w:p>
    <w:p>
      <w:pPr>
        <w:spacing w:after="0" w:before="400"/>
      </w:pPr>
    </w:p>
    <w:p>
      <w:pPr>
        <w:spacing w:after="200" w:before="200"/>
        <w:ind w:left="720" w:right="720"/>
      </w:pPr>
      <w:r>
        <w:rPr>
          <w:rFonts w:ascii="Georgia" w:cs="Georgia" w:eastAsia="Georgia" w:hAnsi="Georgia"/>
          <w:i/>
          <w:iCs/>
          <w:color w:val="5b2c20"/>
          <w:sz w:val="24"/>
          <w:szCs w:val="24"/>
        </w:rPr>
        <w:t xml:space="preserve">The architecture of inequality was not inherited. It was engineered. And the engineering began with specific laws, passed by specific legislators, for specific purposes.</w:t>
      </w:r>
    </w:p>
    <w:p>
      <w:r>
        <w:br w:type="page"/>
      </w:r>
    </w:p>
    <w:p>
      <w:pPr>
        <w:pStyle w:val="Heading1"/>
        <w:spacing w:after="240" w:before="360"/>
      </w:pPr>
      <w:r>
        <w:rPr>
          <w:rFonts w:ascii="Georgia" w:cs="Georgia" w:eastAsia="Georgia" w:hAnsi="Georgia"/>
          <w:b/>
          <w:bCs/>
          <w:color w:val="1a1a1a"/>
          <w:sz w:val="36"/>
          <w:szCs w:val="36"/>
        </w:rPr>
        <w:t xml:space="preserve">Chapter 1: Davis-Bacon and the Architecture of Exclusion (1931)</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Davis-Bacon Act, signed by President Herbert Hoover on March 3, 1931, requires contractors on federally funded construction projects to pay workers the “prevailing wage” in the area. On its face, this sounds protective. In practice, it was designed to exclude Black workers from federal construction jobs.</w:t>
      </w:r>
    </w:p>
    <w:p>
      <w:pPr>
        <w:spacing w:after="200" w:before="0" w:line="312"/>
        <w:jc w:val="both"/>
      </w:pPr>
      <w:r>
        <w:rPr>
          <w:rFonts w:ascii="Georgia" w:cs="Georgia" w:eastAsia="Georgia" w:hAnsi="Georgia"/>
          <w:color w:val="3a3a3a"/>
          <w:sz w:val="24"/>
          <w:szCs w:val="24"/>
        </w:rPr>
        <w:t xml:space="preserve">The legislative record is explicit. Representative Robert Bacon of New York introduced the bill after a contractor brought Black workers from Alabama to build a Veterans’ Bureau hospital on Long Island. The workers were paid less than local (white) workers. Rather than demanding that the Black workers receive equal pay, Bacon demanded that only local (white) workers be hired.</w:t>
      </w:r>
    </w:p>
    <w:p>
      <w:pPr>
        <w:spacing w:after="200" w:before="0" w:line="312"/>
        <w:jc w:val="both"/>
      </w:pPr>
      <w:r>
        <w:rPr>
          <w:rFonts w:ascii="Georgia" w:cs="Georgia" w:eastAsia="Georgia" w:hAnsi="Georgia"/>
          <w:color w:val="3a3a3a"/>
          <w:sz w:val="24"/>
          <w:szCs w:val="24"/>
        </w:rPr>
        <w:t xml:space="preserve">The “prevailing wage” was defined as the union wage. Black workers were excluded from most construction unions in 1931. By requiring the union wage, Davis-Bacon effectively required the hiring of white union workers and the exclusion of non-union Black workers who would have worked for less — not because they were worth less, but because they had no other option.</w:t>
      </w:r>
    </w:p>
    <w:p>
      <w:pPr>
        <w:pStyle w:val="Heading2"/>
        <w:spacing w:after="200" w:before="280"/>
      </w:pPr>
      <w:r>
        <w:rPr>
          <w:rFonts w:ascii="Georgia" w:cs="Georgia" w:eastAsia="Georgia" w:hAnsi="Georgia"/>
          <w:b/>
          <w:bCs/>
          <w:color w:val="1a1a1a"/>
          <w:sz w:val="30"/>
          <w:szCs w:val="30"/>
        </w:rPr>
        <w:t xml:space="preserve">1.1 — The Mechanism</w:t>
      </w:r>
    </w:p>
    <w:p>
      <w:pPr>
        <w:spacing w:after="200" w:before="0" w:line="312"/>
        <w:jc w:val="both"/>
      </w:pPr>
      <w:r>
        <w:rPr>
          <w:rFonts w:ascii="Georgia" w:cs="Georgia" w:eastAsia="Georgia" w:hAnsi="Georgia"/>
          <w:color w:val="3a3a3a"/>
          <w:sz w:val="24"/>
          <w:szCs w:val="24"/>
        </w:rPr>
        <w:t xml:space="preserve">Davis-Bacon operates through three interlocking exclusions:</w:t>
      </w:r>
    </w:p>
    <w:p>
      <w:pPr>
        <w:spacing w:after="80" w:before="0" w:line="312"/>
        <w:jc w:val="both"/>
      </w:pPr>
      <w:r>
        <w:rPr>
          <w:rFonts w:ascii="Georgia" w:cs="Georgia" w:eastAsia="Georgia" w:hAnsi="Georgia"/>
          <w:b/>
          <w:bCs/>
          <w:color w:val="3a3a3a"/>
          <w:sz w:val="24"/>
          <w:szCs w:val="24"/>
        </w:rPr>
        <w:t xml:space="preserve">1. Union requirement: </w:t>
      </w:r>
      <w:r>
        <w:rPr>
          <w:rFonts w:ascii="Georgia" w:cs="Georgia" w:eastAsia="Georgia" w:hAnsi="Georgia"/>
          <w:color w:val="3a3a3a"/>
          <w:sz w:val="24"/>
          <w:szCs w:val="24"/>
        </w:rPr>
        <w:t xml:space="preserve">Prevailing wage = union wage. Black workers excluded from unions = excluded from work.</w:t>
      </w:r>
    </w:p>
    <w:p>
      <w:pPr>
        <w:spacing w:after="80" w:before="0" w:line="312"/>
        <w:jc w:val="both"/>
      </w:pPr>
      <w:r>
        <w:rPr>
          <w:rFonts w:ascii="Georgia" w:cs="Georgia" w:eastAsia="Georgia" w:hAnsi="Georgia"/>
          <w:b/>
          <w:bCs/>
          <w:color w:val="3a3a3a"/>
          <w:sz w:val="24"/>
          <w:szCs w:val="24"/>
        </w:rPr>
        <w:t xml:space="preserve">2. Local preference: </w:t>
      </w:r>
      <w:r>
        <w:rPr>
          <w:rFonts w:ascii="Georgia" w:cs="Georgia" w:eastAsia="Georgia" w:hAnsi="Georgia"/>
          <w:color w:val="3a3a3a"/>
          <w:sz w:val="24"/>
          <w:szCs w:val="24"/>
        </w:rPr>
        <w:t xml:space="preserve">Contractors must hire local workers at local prevailing rates. In segregated areas, “local” meant white.</w:t>
      </w:r>
    </w:p>
    <w:p>
      <w:pPr>
        <w:spacing w:after="200" w:before="0" w:line="312"/>
        <w:jc w:val="both"/>
      </w:pPr>
      <w:r>
        <w:rPr>
          <w:rFonts w:ascii="Georgia" w:cs="Georgia" w:eastAsia="Georgia" w:hAnsi="Georgia"/>
          <w:b/>
          <w:bCs/>
          <w:color w:val="3a3a3a"/>
          <w:sz w:val="24"/>
          <w:szCs w:val="24"/>
        </w:rPr>
        <w:t xml:space="preserve">3. Federal funding: </w:t>
      </w:r>
      <w:r>
        <w:rPr>
          <w:rFonts w:ascii="Georgia" w:cs="Georgia" w:eastAsia="Georgia" w:hAnsi="Georgia"/>
          <w:color w:val="3a3a3a"/>
          <w:sz w:val="24"/>
          <w:szCs w:val="24"/>
        </w:rPr>
        <w:t xml:space="preserve">The law applies to all federally funded construction. The federal government became the enforcer of racial exclusion in the construction trades.</w:t>
      </w:r>
    </w:p>
    <w:p>
      <w:pPr>
        <w:spacing w:after="200" w:before="0" w:line="312"/>
        <w:jc w:val="both"/>
      </w:pPr>
      <w:r>
        <w:rPr>
          <w:rFonts w:ascii="Georgia" w:cs="Georgia" w:eastAsia="Georgia" w:hAnsi="Georgia"/>
          <w:color w:val="3a3a3a"/>
          <w:sz w:val="24"/>
          <w:szCs w:val="24"/>
        </w:rPr>
        <w:t xml:space="preserve">Davis-Bacon remains in effect in 2026. It has been amended but never repealed. The Government Accountability Office has documented its continued disparate impact in reports spanning five decades.</w:t>
      </w:r>
    </w:p>
    <w:p>
      <w:pPr>
        <w:pStyle w:val="Heading2"/>
        <w:spacing w:after="200" w:before="280"/>
      </w:pPr>
      <w:r>
        <w:rPr>
          <w:rFonts w:ascii="Georgia" w:cs="Georgia" w:eastAsia="Georgia" w:hAnsi="Georgia"/>
          <w:b/>
          <w:bCs/>
          <w:color w:val="1a1a1a"/>
          <w:sz w:val="30"/>
          <w:szCs w:val="30"/>
        </w:rPr>
        <w:t xml:space="preserve">1.2 — The Cost</w:t>
      </w:r>
    </w:p>
    <w:p>
      <w:pPr>
        <w:spacing w:after="200" w:before="0" w:line="312"/>
        <w:jc w:val="both"/>
      </w:pPr>
      <w:r>
        <w:rPr>
          <w:rFonts w:ascii="Georgia" w:cs="Georgia" w:eastAsia="Georgia" w:hAnsi="Georgia"/>
          <w:color w:val="3a3a3a"/>
          <w:sz w:val="24"/>
          <w:szCs w:val="24"/>
        </w:rPr>
        <w:t xml:space="preserve">Federal construction spending from 1931 to 1964 (when the Civil Rights Act nominally prohibited employment discrimination) totaled approximately $250 billion in 2024 dollars. Black workers were systematically excluded from this spending. At the Black population percentage of approximately 10–12% during this period, the exclusion represents approximately $25–30 billion in lost wages — wages that would have generated savings, homeownership, and intergenerational wealth transfer.</w:t>
      </w:r>
    </w:p>
    <w:p>
      <w:pPr>
        <w:spacing w:after="200" w:before="0" w:line="312"/>
        <w:jc w:val="both"/>
      </w:pPr>
      <w:r>
        <w:rPr>
          <w:rFonts w:ascii="Georgia" w:cs="Georgia" w:eastAsia="Georgia" w:hAnsi="Georgia"/>
          <w:color w:val="3a3a3a"/>
          <w:sz w:val="24"/>
          <w:szCs w:val="24"/>
        </w:rPr>
        <w:t xml:space="preserve">That $25–30 billion in lost 1931–1964 wages, compounded at the average rate of return on home equity (approximately 4–6% annually), represents $200–500 billion in lost wealth by 2026. From one law.</w:t>
      </w:r>
    </w:p>
    <w:p>
      <w:r>
        <w:br w:type="page"/>
      </w:r>
    </w:p>
    <w:p>
      <w:pPr>
        <w:pStyle w:val="Heading1"/>
        <w:spacing w:after="240" w:before="360"/>
      </w:pPr>
      <w:r>
        <w:rPr>
          <w:rFonts w:ascii="Georgia" w:cs="Georgia" w:eastAsia="Georgia" w:hAnsi="Georgia"/>
          <w:b/>
          <w:bCs/>
          <w:color w:val="1a1a1a"/>
          <w:sz w:val="36"/>
          <w:szCs w:val="36"/>
        </w:rPr>
        <w:t xml:space="preserve">Chapter 2: The New Deal — Recovery for Whom (1933–1938)</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Franklin Roosevelt’s New Deal is remembered as the salvation of the American working class. It was — for white workers. For Black workers, the New Deal was a catastrophe disguised as a rescue.</w:t>
      </w:r>
    </w:p>
    <w:p>
      <w:pPr>
        <w:spacing w:after="200" w:before="0" w:line="312"/>
        <w:jc w:val="both"/>
      </w:pPr>
      <w:r>
        <w:rPr>
          <w:rFonts w:ascii="Georgia" w:cs="Georgia" w:eastAsia="Georgia" w:hAnsi="Georgia"/>
          <w:color w:val="3a3a3a"/>
          <w:sz w:val="24"/>
          <w:szCs w:val="24"/>
        </w:rPr>
        <w:t xml:space="preserve">The political reality: Roosevelt needed Southern Democrats to pass New Deal legislation. Southern Democrats demanded that agricultural workers and domestic workers be excluded from New Deal protections. In 1930, approximately 60% of employed Black workers were in agriculture or domestic service in the South. The exclusion was surgical.</w:t>
      </w:r>
    </w:p>
    <w:p>
      <w:pPr>
        <w:pStyle w:val="Heading2"/>
        <w:spacing w:after="200" w:before="280"/>
      </w:pPr>
      <w:r>
        <w:rPr>
          <w:rFonts w:ascii="Georgia" w:cs="Georgia" w:eastAsia="Georgia" w:hAnsi="Georgia"/>
          <w:b/>
          <w:bCs/>
          <w:color w:val="1a1a1a"/>
          <w:sz w:val="30"/>
          <w:szCs w:val="30"/>
        </w:rPr>
        <w:t xml:space="preserve">2.1 — Social Security Act (1935)</w:t>
      </w:r>
    </w:p>
    <w:p>
      <w:pPr>
        <w:spacing w:after="200" w:before="0" w:line="312"/>
        <w:jc w:val="both"/>
      </w:pPr>
      <w:r>
        <w:rPr>
          <w:rFonts w:ascii="Georgia" w:cs="Georgia" w:eastAsia="Georgia" w:hAnsi="Georgia"/>
          <w:color w:val="3a3a3a"/>
          <w:sz w:val="24"/>
          <w:szCs w:val="24"/>
        </w:rPr>
        <w:t xml:space="preserve">The original Social Security Act excluded agricultural laborers and domestic servants. This was not race-neutral. In 1935, 65% of African Americans nationally, and 70–80% in the South, worked in these two categories. The exclusion meant that the majority of Black workers paid into no retirement system, accumulated no Social Security credits, and received no survivor benefits.</w:t>
      </w:r>
    </w:p>
    <w:p>
      <w:pPr>
        <w:spacing w:after="200" w:before="0" w:line="312"/>
        <w:jc w:val="both"/>
      </w:pPr>
      <w:r>
        <w:rPr>
          <w:rFonts w:ascii="Georgia" w:cs="Georgia" w:eastAsia="Georgia" w:hAnsi="Georgia"/>
          <w:color w:val="3a3a3a"/>
          <w:sz w:val="24"/>
          <w:szCs w:val="24"/>
        </w:rPr>
        <w:t xml:space="preserve">The exclusions were not corrected until 1950 (domestic workers) and 1954 (agricultural workers) — a 15–19 year gap during which white workers accumulated Social Security credits and Black workers did not. Those missed years of contributions compound across generations.</w:t>
      </w:r>
    </w:p>
    <w:p>
      <w:pPr>
        <w:pStyle w:val="Heading2"/>
        <w:spacing w:after="200" w:before="280"/>
      </w:pPr>
      <w:r>
        <w:rPr>
          <w:rFonts w:ascii="Georgia" w:cs="Georgia" w:eastAsia="Georgia" w:hAnsi="Georgia"/>
          <w:b/>
          <w:bCs/>
          <w:color w:val="1a1a1a"/>
          <w:sz w:val="30"/>
          <w:szCs w:val="30"/>
        </w:rPr>
        <w:t xml:space="preserve">2.2 — National Labor Relations Act (Wagner Act, 1935)</w:t>
      </w:r>
    </w:p>
    <w:p>
      <w:pPr>
        <w:spacing w:after="200" w:before="0" w:line="312"/>
        <w:jc w:val="both"/>
      </w:pPr>
      <w:r>
        <w:rPr>
          <w:rFonts w:ascii="Georgia" w:cs="Georgia" w:eastAsia="Georgia" w:hAnsi="Georgia"/>
          <w:color w:val="3a3a3a"/>
          <w:sz w:val="24"/>
          <w:szCs w:val="24"/>
        </w:rPr>
        <w:t xml:space="preserve">The Wagner Act guaranteed the right to organize and bargain collectively. It explicitly excluded agricultural workers and domestic workers from its protections. The same 60% of Black workers left out of Social Security were left out of labor law.</w:t>
      </w:r>
    </w:p>
    <w:p>
      <w:pPr>
        <w:spacing w:after="200" w:before="0" w:line="312"/>
        <w:jc w:val="both"/>
      </w:pPr>
      <w:r>
        <w:rPr>
          <w:rFonts w:ascii="Georgia" w:cs="Georgia" w:eastAsia="Georgia" w:hAnsi="Georgia"/>
          <w:color w:val="3a3a3a"/>
          <w:sz w:val="24"/>
          <w:szCs w:val="24"/>
        </w:rPr>
        <w:t xml:space="preserve">The effect was dual: white workers could unionize, bargain for higher wages, and accumulate the benefits of collective action. Black workers in agriculture and domestic service had no legal right to organize, no protection from retaliation, and no mechanism for collective bargaining. The wage gap between unionized white workers and non-union Black workers widened from the moment the Wagner Act was signed.</w:t>
      </w:r>
    </w:p>
    <w:p>
      <w:pPr>
        <w:pStyle w:val="Heading2"/>
        <w:spacing w:after="200" w:before="280"/>
      </w:pPr>
      <w:r>
        <w:rPr>
          <w:rFonts w:ascii="Georgia" w:cs="Georgia" w:eastAsia="Georgia" w:hAnsi="Georgia"/>
          <w:b/>
          <w:bCs/>
          <w:color w:val="1a1a1a"/>
          <w:sz w:val="30"/>
          <w:szCs w:val="30"/>
        </w:rPr>
        <w:t xml:space="preserve">2.3 — The Civilian Conservation Corps</w:t>
      </w:r>
    </w:p>
    <w:p>
      <w:pPr>
        <w:spacing w:after="200" w:before="0" w:line="312"/>
        <w:jc w:val="both"/>
      </w:pPr>
      <w:r>
        <w:rPr>
          <w:rFonts w:ascii="Georgia" w:cs="Georgia" w:eastAsia="Georgia" w:hAnsi="Georgia"/>
          <w:color w:val="3a3a3a"/>
          <w:sz w:val="24"/>
          <w:szCs w:val="24"/>
        </w:rPr>
        <w:t xml:space="preserve">The CCC employed 3 million young men between 1933 and 1942 in conservation and infrastructure projects. Black enrollment was capped at approximately 10% of total enrollment despite Black Americans comprising 12% of the population and experiencing significantly higher unemployment. CCC camps were segregated. Black enrollees were frequently assigned to less skilled work with fewer training opportunities. The program built skills and networks that translated into post-program employment — but disproportionately for white participants.</w:t>
      </w:r>
    </w:p>
    <w:p>
      <w:pPr>
        <w:pStyle w:val="Heading2"/>
        <w:spacing w:after="200" w:before="280"/>
      </w:pPr>
      <w:r>
        <w:rPr>
          <w:rFonts w:ascii="Georgia" w:cs="Georgia" w:eastAsia="Georgia" w:hAnsi="Georgia"/>
          <w:b/>
          <w:bCs/>
          <w:color w:val="1a1a1a"/>
          <w:sz w:val="30"/>
          <w:szCs w:val="30"/>
        </w:rPr>
        <w:t xml:space="preserve">2.4 — Cumulative New Deal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308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White Workers</w:t>
            </w:r>
          </w:p>
        </w:tc>
        <w:tc>
          <w:tcPr>
            <w:tcW w:type="dxa" w:w="308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 Workers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Social Security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Covered (most occupations)</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b2c20"/>
                <w:sz w:val="20"/>
                <w:szCs w:val="20"/>
              </w:rPr>
              <w:t xml:space="preserve">Excluded (ag + domestic)</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Wagner Act</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Protected (right to organize)</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5b2c20"/>
                <w:sz w:val="20"/>
                <w:szCs w:val="20"/>
              </w:rPr>
              <w:t xml:space="preserve">Excluded (ag + domestic)</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Fair Labor Standards Act</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Covered (minimum wage)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b2c20"/>
                <w:sz w:val="20"/>
                <w:szCs w:val="20"/>
              </w:rPr>
              <w:t xml:space="preserve">Excluded (ag + domestic)</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CCC</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Full access, integrated training</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5b2c20"/>
                <w:sz w:val="20"/>
                <w:szCs w:val="20"/>
              </w:rPr>
              <w:t xml:space="preserve">Capped at 10%, segregated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FHA Mortgage Insurance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Full access (suburban)</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b2c20"/>
                <w:sz w:val="20"/>
                <w:szCs w:val="20"/>
              </w:rPr>
              <w:t xml:space="preserve">Redlined (see Chapter 3)</w:t>
            </w:r>
          </w:p>
        </w:tc>
      </w:tr>
    </w:tbl>
    <w:p>
      <w:pPr>
        <w:spacing w:after="0" w:before="200"/>
      </w:pPr>
    </w:p>
    <w:p>
      <w:pPr>
        <w:spacing w:after="200" w:before="0" w:line="312"/>
        <w:jc w:val="both"/>
      </w:pPr>
      <w:r>
        <w:rPr>
          <w:rFonts w:ascii="Georgia" w:cs="Georgia" w:eastAsia="Georgia" w:hAnsi="Georgia"/>
          <w:color w:val="3a3a3a"/>
          <w:sz w:val="24"/>
          <w:szCs w:val="24"/>
        </w:rPr>
        <w:t xml:space="preserve">The New Deal created the American middle class. The exclusions ensured that the American middle class was white. This was not an unintended consequence. It was the negotiated price of Southern Democratic support for the legislation.</w:t>
      </w:r>
    </w:p>
    <w:p>
      <w:r>
        <w:br w:type="page"/>
      </w:r>
    </w:p>
    <w:p>
      <w:pPr>
        <w:pStyle w:val="Heading1"/>
        <w:spacing w:after="240" w:before="360"/>
      </w:pPr>
      <w:r>
        <w:rPr>
          <w:rFonts w:ascii="Georgia" w:cs="Georgia" w:eastAsia="Georgia" w:hAnsi="Georgia"/>
          <w:b/>
          <w:bCs/>
          <w:color w:val="1a1a1a"/>
          <w:sz w:val="36"/>
          <w:szCs w:val="36"/>
        </w:rPr>
        <w:t xml:space="preserve">Chapter 3: Redlining — The Map That Built the Wealth Gap (1934)</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Federal Housing Administration, created in 1934 as part of the National Housing Act, insured private mortgages against default. This made homeownership accessible to millions of Americans who could not previously afford it. The 30-year fixed-rate mortgage — the foundation of middle-class wealth accumulation in America — was an FHA invention.</w:t>
      </w:r>
    </w:p>
    <w:p>
      <w:pPr>
        <w:spacing w:after="200" w:before="0" w:line="312"/>
        <w:jc w:val="both"/>
      </w:pPr>
      <w:r>
        <w:rPr>
          <w:rFonts w:ascii="Georgia" w:cs="Georgia" w:eastAsia="Georgia" w:hAnsi="Georgia"/>
          <w:color w:val="3a3a3a"/>
          <w:sz w:val="24"/>
          <w:szCs w:val="24"/>
        </w:rPr>
        <w:t xml:space="preserve">The FHA also invented redlining.</w:t>
      </w:r>
    </w:p>
    <w:p>
      <w:pPr>
        <w:pStyle w:val="Heading2"/>
        <w:spacing w:after="200" w:before="280"/>
      </w:pPr>
      <w:r>
        <w:rPr>
          <w:rFonts w:ascii="Georgia" w:cs="Georgia" w:eastAsia="Georgia" w:hAnsi="Georgia"/>
          <w:b/>
          <w:bCs/>
          <w:color w:val="1a1a1a"/>
          <w:sz w:val="30"/>
          <w:szCs w:val="30"/>
        </w:rPr>
        <w:t xml:space="preserve">3.1 — The HOLC Maps</w:t>
      </w:r>
    </w:p>
    <w:p>
      <w:pPr>
        <w:spacing w:after="200" w:before="0" w:line="312"/>
        <w:jc w:val="both"/>
      </w:pPr>
      <w:r>
        <w:rPr>
          <w:rFonts w:ascii="Georgia" w:cs="Georgia" w:eastAsia="Georgia" w:hAnsi="Georgia"/>
          <w:color w:val="3a3a3a"/>
          <w:sz w:val="24"/>
          <w:szCs w:val="24"/>
        </w:rPr>
        <w:t xml:space="preserve">The Home Owners’ Loan Corporation (HOLC), created in 1933, developed residential security maps for 239 cities between 1935 and 1940. These maps rated neighborhoods from A (“Best,” green) to D (“Hazardous,” red). The criteria for a D rating included: proximity to or occupation by “subversive racial elements,” “infilttation of Negroes,” “mixed races,” and “foreign-born.”</w:t>
      </w:r>
    </w:p>
    <w:p>
      <w:pPr>
        <w:spacing w:after="200" w:before="0" w:line="312"/>
        <w:jc w:val="both"/>
      </w:pPr>
      <w:r>
        <w:rPr>
          <w:rFonts w:ascii="Georgia" w:cs="Georgia" w:eastAsia="Georgia" w:hAnsi="Georgia"/>
          <w:color w:val="3a3a3a"/>
          <w:sz w:val="24"/>
          <w:szCs w:val="24"/>
        </w:rPr>
        <w:t xml:space="preserve">The language in the HOLC area descriptions is explicit. A 1937 HOLC report for Philadelphia described one neighborhood as: “Colored infiltration is a definitely adverse influence on neighborhood desirability.” A Detroit report stated: “Detrimental influences: colored.” These are federal documents, available in the National Archives.</w:t>
      </w:r>
    </w:p>
    <w:p>
      <w:pPr>
        <w:pStyle w:val="Heading2"/>
        <w:spacing w:after="200" w:before="280"/>
      </w:pPr>
      <w:r>
        <w:rPr>
          <w:rFonts w:ascii="Georgia" w:cs="Georgia" w:eastAsia="Georgia" w:hAnsi="Georgia"/>
          <w:b/>
          <w:bCs/>
          <w:color w:val="1a1a1a"/>
          <w:sz w:val="30"/>
          <w:szCs w:val="30"/>
        </w:rPr>
        <w:t xml:space="preserve">3.2 — The FHA Underwriting Manual</w:t>
      </w:r>
    </w:p>
    <w:p>
      <w:pPr>
        <w:spacing w:after="200" w:before="0" w:line="312"/>
        <w:jc w:val="both"/>
      </w:pPr>
      <w:r>
        <w:rPr>
          <w:rFonts w:ascii="Georgia" w:cs="Georgia" w:eastAsia="Georgia" w:hAnsi="Georgia"/>
          <w:color w:val="3a3a3a"/>
          <w:sz w:val="24"/>
          <w:szCs w:val="24"/>
        </w:rPr>
        <w:t xml:space="preserve">The FHA’s Underwriting Manual, used from 1935 through the 1960s, stated: “If a neighborhood is to retain stability, it is necessary that properties shall continue to be occupied by the same social and racial classes.” The manual recommended that deeds include restrictive covenants preventing sale to non-whites as a condition of FHA insurance.</w:t>
      </w:r>
    </w:p>
    <w:p>
      <w:pPr>
        <w:spacing w:after="200" w:before="0" w:line="312"/>
        <w:jc w:val="both"/>
      </w:pPr>
      <w:r>
        <w:rPr>
          <w:rFonts w:ascii="Georgia" w:cs="Georgia" w:eastAsia="Georgia" w:hAnsi="Georgia"/>
          <w:color w:val="3a3a3a"/>
          <w:sz w:val="24"/>
          <w:szCs w:val="24"/>
        </w:rPr>
        <w:t xml:space="preserve">This meant: the federal government would not insure mortgages in Black neighborhoods (redlined areas). Banks would not lend without FHA insurance. Without mortgages, residents could not buy homes. Without homeownership, they could not build equity. Without equity, they could not build wealth. Without wealth, they could not invest in education, businesses, or the next generation.</w:t>
      </w:r>
    </w:p>
    <w:p>
      <w:pPr>
        <w:pStyle w:val="Heading2"/>
        <w:spacing w:after="200" w:before="280"/>
      </w:pPr>
      <w:r>
        <w:rPr>
          <w:rFonts w:ascii="Georgia" w:cs="Georgia" w:eastAsia="Georgia" w:hAnsi="Georgia"/>
          <w:b/>
          <w:bCs/>
          <w:color w:val="1a1a1a"/>
          <w:sz w:val="30"/>
          <w:szCs w:val="30"/>
        </w:rPr>
        <w:t xml:space="preserve">3.3 — The Numbers</w:t>
      </w:r>
    </w:p>
    <w:p>
      <w:pPr>
        <w:spacing w:after="200" w:before="0" w:line="312"/>
        <w:jc w:val="both"/>
      </w:pPr>
      <w:r>
        <w:rPr>
          <w:rFonts w:ascii="Georgia" w:cs="Georgia" w:eastAsia="Georgia" w:hAnsi="Georgia"/>
          <w:color w:val="3a3a3a"/>
          <w:sz w:val="24"/>
          <w:szCs w:val="24"/>
        </w:rPr>
        <w:t xml:space="preserve">Between 1934 and 1962, the FHA insured $120 billion in mortgages. Less than 2% of FHA-insured mortgages went to non-white borrowers. In the same period, the homeownership rate for white Americans rose from 44% to 64%. For Black Americans, it rose from 23% to 38%.</w:t>
      </w:r>
    </w:p>
    <w:p>
      <w:pPr>
        <w:spacing w:after="200" w:before="0" w:line="312"/>
        <w:jc w:val="both"/>
      </w:pPr>
      <w:r>
        <w:rPr>
          <w:rFonts w:ascii="Georgia" w:cs="Georgia" w:eastAsia="Georgia" w:hAnsi="Georgia"/>
          <w:color w:val="3a3a3a"/>
          <w:sz w:val="24"/>
          <w:szCs w:val="24"/>
        </w:rPr>
        <w:t xml:space="preserve">The wealth gap is not primarily an income gap. It is an asset gap. And the single largest asset for most American families is their home. The FHA created homeownership for white America and systematically denied it to Black America. The wealth gap is redlining, compounded for 90 years.</w:t>
      </w:r>
    </w:p>
    <w:p>
      <w:pPr>
        <w:pStyle w:val="Heading2"/>
        <w:spacing w:after="200" w:before="280"/>
      </w:pPr>
      <w:r>
        <w:rPr>
          <w:rFonts w:ascii="Georgia" w:cs="Georgia" w:eastAsia="Georgia" w:hAnsi="Georgia"/>
          <w:b/>
          <w:bCs/>
          <w:color w:val="1a1a1a"/>
          <w:sz w:val="30"/>
          <w:szCs w:val="30"/>
        </w:rPr>
        <w:t xml:space="preserve">3.4 — Long-Term Impact</w:t>
      </w:r>
    </w:p>
    <w:p>
      <w:pPr>
        <w:spacing w:after="200" w:before="0" w:line="312"/>
        <w:jc w:val="both"/>
      </w:pPr>
      <w:r>
        <w:rPr>
          <w:rFonts w:ascii="Georgia" w:cs="Georgia" w:eastAsia="Georgia" w:hAnsi="Georgia"/>
          <w:color w:val="3a3a3a"/>
          <w:sz w:val="24"/>
          <w:szCs w:val="24"/>
        </w:rPr>
        <w:t xml:space="preserve">A 2018 study by the National Community Reinvestment Coalition analyzed all 239 HOLC-graded cities and found that 74% of neighborhoods rated D in the 1930s remain low-to-moderate income today. 64% are still majority-minority. The maps drawn 90 years ago still predict poverty and segregation in 2026.</w:t>
      </w:r>
    </w:p>
    <w:p>
      <w:pPr>
        <w:spacing w:after="200" w:before="0" w:line="312"/>
        <w:jc w:val="both"/>
      </w:pPr>
      <w:r>
        <w:rPr>
          <w:rFonts w:ascii="Georgia" w:cs="Georgia" w:eastAsia="Georgia" w:hAnsi="Georgia"/>
          <w:color w:val="3a3a3a"/>
          <w:sz w:val="24"/>
          <w:szCs w:val="24"/>
        </w:rPr>
        <w:t xml:space="preserve">The half-life of a redline is longer than the half-life of most radioactive isotopes.</w:t>
      </w:r>
    </w:p>
    <w:p>
      <w:r>
        <w:br w:type="page"/>
      </w:r>
    </w:p>
    <w:p>
      <w:pPr>
        <w:pStyle w:val="Heading1"/>
        <w:spacing w:after="240" w:before="360"/>
      </w:pPr>
      <w:r>
        <w:rPr>
          <w:rFonts w:ascii="Georgia" w:cs="Georgia" w:eastAsia="Georgia" w:hAnsi="Georgia"/>
          <w:b/>
          <w:bCs/>
          <w:color w:val="1a1a1a"/>
          <w:sz w:val="36"/>
          <w:szCs w:val="36"/>
        </w:rPr>
        <w:t xml:space="preserve">Chapter 4: Fair Labor Standards Act — The Workers Left Out (1938)</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FLSA established the first federal minimum wage (25 cents per hour), maximum work week (44 hours), and prohibition on child labor. Like every other New Deal program, it excluded agricultural workers and domestic servants.</w:t>
      </w:r>
    </w:p>
    <w:p>
      <w:pPr>
        <w:spacing w:after="200" w:before="0" w:line="312"/>
        <w:jc w:val="both"/>
      </w:pPr>
      <w:r>
        <w:rPr>
          <w:rFonts w:ascii="Georgia" w:cs="Georgia" w:eastAsia="Georgia" w:hAnsi="Georgia"/>
          <w:color w:val="3a3a3a"/>
          <w:sz w:val="24"/>
          <w:szCs w:val="24"/>
        </w:rPr>
        <w:t xml:space="preserve">In 1938, the minimum wage of 25 cents per hour applied to approximately 20% of the American workforce. It did not apply to the majority of Black workers. When the minimum wage was raised to 75 cents in 1950, and to $1.00 in 1955, agricultural and domestic workers were still excluded. Partial coverage for agricultural workers did not arrive until 1966. Full coverage came in 1977 — 39 years after the FLSA was enacted.</w:t>
      </w:r>
    </w:p>
    <w:p>
      <w:pPr>
        <w:spacing w:after="200" w:before="0" w:line="312"/>
        <w:jc w:val="both"/>
      </w:pPr>
      <w:r>
        <w:rPr>
          <w:rFonts w:ascii="Georgia" w:cs="Georgia" w:eastAsia="Georgia" w:hAnsi="Georgia"/>
          <w:color w:val="3a3a3a"/>
          <w:sz w:val="24"/>
          <w:szCs w:val="24"/>
        </w:rPr>
        <w:t xml:space="preserve">For 39 years, the federal minimum wage created a floor under white wages while Black workers in agriculture and domestic service had no floor at all. The gap between the minimum wage and the prevailing agricultural wage averaged 30–40% during this period. That 30–40% difference, compounded over 39 years, is a measurable component of the current wealth gap.</w:t>
      </w:r>
    </w:p>
    <w:p>
      <w:r>
        <w:br w:type="page"/>
      </w:r>
    </w:p>
    <w:p>
      <w:pPr>
        <w:pStyle w:val="Heading1"/>
        <w:spacing w:after="240" w:before="360"/>
      </w:pPr>
      <w:r>
        <w:rPr>
          <w:rFonts w:ascii="Georgia" w:cs="Georgia" w:eastAsia="Georgia" w:hAnsi="Georgia"/>
          <w:b/>
          <w:bCs/>
          <w:color w:val="1a1a1a"/>
          <w:sz w:val="36"/>
          <w:szCs w:val="36"/>
        </w:rPr>
        <w:t xml:space="preserve">Chapter 5: War, Wages, and the Double V (1941–1945)</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World War II compressed the wage gap — temporarily. The wartime labor shortage forced employers to hire Black workers in manufacturing jobs previously reserved for whites. Executive Order 8802 (1941), signed by Roosevelt after A. Philip Randolph threatened a march on Washington, prohibited racial discrimination in defense industries and federal agencies.</w:t>
      </w:r>
    </w:p>
    <w:p>
      <w:pPr>
        <w:pStyle w:val="Heading2"/>
        <w:spacing w:after="200" w:before="280"/>
      </w:pPr>
      <w:r>
        <w:rPr>
          <w:rFonts w:ascii="Georgia" w:cs="Georgia" w:eastAsia="Georgia" w:hAnsi="Georgia"/>
          <w:b/>
          <w:bCs/>
          <w:color w:val="1a1a1a"/>
          <w:sz w:val="30"/>
          <w:szCs w:val="30"/>
        </w:rPr>
        <w:t xml:space="preserve">5.1 — The War Economy</w:t>
      </w:r>
    </w:p>
    <w:p>
      <w:pPr>
        <w:spacing w:after="200" w:before="0" w:line="312"/>
        <w:jc w:val="both"/>
      </w:pPr>
      <w:r>
        <w:rPr>
          <w:rFonts w:ascii="Georgia" w:cs="Georgia" w:eastAsia="Georgia" w:hAnsi="Georgia"/>
          <w:color w:val="3a3a3a"/>
          <w:sz w:val="24"/>
          <w:szCs w:val="24"/>
        </w:rPr>
        <w:t xml:space="preserve">Black manufacturing employment more than doubled between 1940 and 1945. Median Black family income rose from 41% of white median family income in 1939 to 54% by 1947. This was the fastest convergence in the wage gap in American history — driven not by antidiscrimination policy but by labor scarcity.</w:t>
      </w:r>
    </w:p>
    <w:p>
      <w:pPr>
        <w:spacing w:after="200" w:before="0" w:line="312"/>
        <w:jc w:val="both"/>
      </w:pPr>
      <w:r>
        <w:rPr>
          <w:rFonts w:ascii="Georgia" w:cs="Georgia" w:eastAsia="Georgia" w:hAnsi="Georgia"/>
          <w:color w:val="3a3a3a"/>
          <w:sz w:val="24"/>
          <w:szCs w:val="24"/>
        </w:rPr>
        <w:t xml:space="preserve">The convergence was real but fragile. It depended on wartime demand, not on structural change. When the war ended, the forces that had compressed the gap reversed.</w:t>
      </w:r>
    </w:p>
    <w:p>
      <w:pPr>
        <w:pStyle w:val="Heading2"/>
        <w:spacing w:after="200" w:before="280"/>
      </w:pPr>
      <w:r>
        <w:rPr>
          <w:rFonts w:ascii="Georgia" w:cs="Georgia" w:eastAsia="Georgia" w:hAnsi="Georgia"/>
          <w:b/>
          <w:bCs/>
          <w:color w:val="1a1a1a"/>
          <w:sz w:val="30"/>
          <w:szCs w:val="30"/>
        </w:rPr>
        <w:t xml:space="preserve">5.2 — The Double V</w:t>
      </w:r>
    </w:p>
    <w:p>
      <w:pPr>
        <w:spacing w:after="200" w:before="0" w:line="312"/>
        <w:jc w:val="both"/>
      </w:pPr>
      <w:r>
        <w:rPr>
          <w:rFonts w:ascii="Georgia" w:cs="Georgia" w:eastAsia="Georgia" w:hAnsi="Georgia"/>
          <w:color w:val="3a3a3a"/>
          <w:sz w:val="24"/>
          <w:szCs w:val="24"/>
        </w:rPr>
        <w:t xml:space="preserve">Black Americans served in a segregated military. Over 1.2 million Black Americans served in World War II, primarily in support roles. Black combat units — the Tuskegee Airmen (332nd Fighter Group), the 761st Tank Battalion, the 92nd Infantry Division — distinguished themselves despite institutional resistance to their deployment.</w:t>
      </w:r>
    </w:p>
    <w:p>
      <w:pPr>
        <w:spacing w:after="200" w:before="0" w:line="312"/>
        <w:jc w:val="both"/>
      </w:pPr>
      <w:r>
        <w:rPr>
          <w:rFonts w:ascii="Georgia" w:cs="Georgia" w:eastAsia="Georgia" w:hAnsi="Georgia"/>
          <w:color w:val="3a3a3a"/>
          <w:sz w:val="24"/>
          <w:szCs w:val="24"/>
        </w:rPr>
        <w:t xml:space="preserve">The “Double V” campaign, launched by the Pittsburgh Courier in 1942, demanded victory over fascism abroad and racism at home. The irony was structural: Black soldiers fought against a regime built on racial supremacy while serving in a military built on racial segregation, and returned to a country that would use the GI Bill to widen the very gap their service should have narrowed.</w:t>
      </w:r>
    </w:p>
    <w:p>
      <w:pPr>
        <w:pStyle w:val="Heading2"/>
        <w:spacing w:after="200" w:before="280"/>
      </w:pPr>
      <w:r>
        <w:rPr>
          <w:rFonts w:ascii="Georgia" w:cs="Georgia" w:eastAsia="Georgia" w:hAnsi="Georgia"/>
          <w:b/>
          <w:bCs/>
          <w:color w:val="1a1a1a"/>
          <w:sz w:val="30"/>
          <w:szCs w:val="30"/>
        </w:rPr>
        <w:t xml:space="preserve">5.3 — Wartime Wage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White Median Income</w:t>
            </w:r>
          </w:p>
        </w:tc>
        <w:tc>
          <w:tcPr>
            <w:tcW w:type="dxa" w:w="2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 Median Income</w:t>
            </w:r>
          </w:p>
        </w:tc>
        <w:tc>
          <w:tcPr>
            <w:tcW w:type="dxa" w:w="23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Black/White Ratio</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1939</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$1,112</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$460</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b2c20"/>
                <w:sz w:val="20"/>
                <w:szCs w:val="20"/>
              </w:rPr>
              <w:t xml:space="preserve">41%</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1943</w:t>
            </w:r>
          </w:p>
        </w:tc>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$2,047</w:t>
            </w:r>
          </w:p>
        </w:tc>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$987</w:t>
            </w:r>
          </w:p>
        </w:tc>
        <w:tc>
          <w:tcPr>
            <w:tcW w:type="dxa" w:w="2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48%</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1945</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$2,367</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$1,219</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51%</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1947</w:t>
            </w:r>
          </w:p>
        </w:tc>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$3,157</w:t>
            </w:r>
          </w:p>
        </w:tc>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$1,714</w:t>
            </w:r>
          </w:p>
        </w:tc>
        <w:tc>
          <w:tcPr>
            <w:tcW w:type="dxa" w:w="2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54%</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1950</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$3,445</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$1,869</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54%</w:t>
            </w:r>
          </w:p>
        </w:tc>
      </w:tr>
    </w:tbl>
    <w:p>
      <w:pPr>
        <w:spacing w:after="0" w:before="200"/>
      </w:pPr>
    </w:p>
    <w:p>
      <w:pPr>
        <w:spacing w:after="200" w:before="0" w:line="312"/>
        <w:jc w:val="both"/>
      </w:pPr>
      <w:r>
        <w:rPr>
          <w:rFonts w:ascii="Georgia" w:cs="Georgia" w:eastAsia="Georgia" w:hAnsi="Georgia"/>
          <w:color w:val="3a3a3a"/>
          <w:sz w:val="24"/>
          <w:szCs w:val="24"/>
        </w:rPr>
        <w:t xml:space="preserve">Source: U.S. Census Bureau, Historical Income Tables. Note: income figures are nominal (not inflation-adjusted). The ratio is the relevant measure.</w:t>
      </w:r>
    </w:p>
    <w:p>
      <w:pPr>
        <w:spacing w:after="200" w:before="0" w:line="312"/>
        <w:jc w:val="both"/>
      </w:pPr>
      <w:r>
        <w:rPr>
          <w:rFonts w:ascii="Georgia" w:cs="Georgia" w:eastAsia="Georgia" w:hAnsi="Georgia"/>
          <w:color w:val="3a3a3a"/>
          <w:sz w:val="24"/>
          <w:szCs w:val="24"/>
        </w:rPr>
        <w:t xml:space="preserve">The ratio peaked at 54% in 1947–1950 and then stalled. It would not meaningfully improve again until the Civil Rights Act of 1964. The wartime compression was real, temporary, and insufficient. The gap at its narrowest wartime point was still 46 cents on the dollar.</w:t>
      </w:r>
    </w:p>
    <w:p>
      <w:r>
        <w:br w:type="page"/>
      </w:r>
    </w:p>
    <w:p>
      <w:pPr>
        <w:spacing w:after="0" w:before="2000"/>
      </w:pPr>
    </w:p>
    <w:p>
      <w:pPr>
        <w:spacing w:after="100" w:before="0" w:line="312"/>
        <w:jc w:val="center"/>
      </w:pPr>
      <w:r>
        <w:rPr>
          <w:rFonts w:ascii="Arial" w:cs="Arial" w:eastAsia="Arial" w:hAnsi="Arial"/>
          <w:b/>
          <w:bCs/>
          <w:color w:val="1a1a1a"/>
          <w:sz w:val="40"/>
          <w:szCs w:val="40"/>
        </w:rPr>
        <w:t xml:space="preserve">PART II</w:t>
      </w:r>
    </w:p>
    <w:p>
      <w:pPr>
        <w:pBdr>
          <w:bottom w:val="single" w:color="5b2c20" w:sz="4" w:space="1"/>
        </w:pBdr>
        <w:spacing w:after="200" w:before="200"/>
      </w:pPr>
    </w:p>
    <w:p>
      <w:pPr>
        <w:spacing w:after="200" w:before="0" w:line="312"/>
        <w:jc w:val="center"/>
      </w:pPr>
      <w:r>
        <w:rPr>
          <w:rFonts w:ascii="Georgia" w:cs="Georgia" w:eastAsia="Georgia" w:hAnsi="Georgia"/>
          <w:color w:val="5b2c20"/>
          <w:sz w:val="32"/>
          <w:szCs w:val="32"/>
        </w:rPr>
        <w:t xml:space="preserve">THE DIVERGENCE (1945–1968)</w:t>
      </w:r>
    </w:p>
    <w:p>
      <w:pPr>
        <w:spacing w:after="0" w:before="400"/>
      </w:pPr>
    </w:p>
    <w:p>
      <w:pPr>
        <w:spacing w:after="200" w:before="200"/>
        <w:ind w:left="720" w:right="720"/>
      </w:pPr>
      <w:r>
        <w:rPr>
          <w:rFonts w:ascii="Georgia" w:cs="Georgia" w:eastAsia="Georgia" w:hAnsi="Georgia"/>
          <w:i/>
          <w:iCs/>
          <w:color w:val="5b2c20"/>
          <w:sz w:val="24"/>
          <w:szCs w:val="24"/>
        </w:rPr>
        <w:t xml:space="preserve">The GI Bill did not create the middle class. It created the white middle class. The distinction is the entire history of postwar America.</w:t>
      </w:r>
    </w:p>
    <w:p>
      <w:r>
        <w:br w:type="page"/>
      </w:r>
    </w:p>
    <w:p>
      <w:pPr>
        <w:pStyle w:val="Heading1"/>
        <w:spacing w:after="240" w:before="360"/>
      </w:pPr>
      <w:r>
        <w:rPr>
          <w:rFonts w:ascii="Georgia" w:cs="Georgia" w:eastAsia="Georgia" w:hAnsi="Georgia"/>
          <w:b/>
          <w:bCs/>
          <w:color w:val="1a1a1a"/>
          <w:sz w:val="36"/>
          <w:szCs w:val="36"/>
        </w:rPr>
        <w:t xml:space="preserve">Chapter 6: The GI Bill — Two Americas Built on One Law (1944)</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Servicemen’s Readjustment Act of 1944 — the GI Bill — is the single most consequential piece of social legislation in American history. It provided returning veterans with college tuition, vocational training, low-interest home loans, and unemployment insurance. 7.8 million veterans used the education benefits. 4.3 million used the home loan guarantee.</w:t>
      </w:r>
    </w:p>
    <w:p>
      <w:pPr>
        <w:spacing w:after="200" w:before="0" w:line="312"/>
        <w:jc w:val="both"/>
      </w:pPr>
      <w:r>
        <w:rPr>
          <w:rFonts w:ascii="Georgia" w:cs="Georgia" w:eastAsia="Georgia" w:hAnsi="Georgia"/>
          <w:color w:val="3a3a3a"/>
          <w:sz w:val="24"/>
          <w:szCs w:val="24"/>
        </w:rPr>
        <w:t xml:space="preserve">The law was race-neutral on paper. Its administration was not.</w:t>
      </w:r>
    </w:p>
    <w:p>
      <w:pPr>
        <w:pStyle w:val="Heading2"/>
        <w:spacing w:after="200" w:before="280"/>
      </w:pPr>
      <w:r>
        <w:rPr>
          <w:rFonts w:ascii="Georgia" w:cs="Georgia" w:eastAsia="Georgia" w:hAnsi="Georgia"/>
          <w:b/>
          <w:bCs/>
          <w:color w:val="1a1a1a"/>
          <w:sz w:val="30"/>
          <w:szCs w:val="30"/>
        </w:rPr>
        <w:t xml:space="preserve">6.1 — Education</w:t>
      </w:r>
    </w:p>
    <w:p>
      <w:pPr>
        <w:spacing w:after="200" w:before="0" w:line="312"/>
        <w:jc w:val="both"/>
      </w:pPr>
      <w:r>
        <w:rPr>
          <w:rFonts w:ascii="Georgia" w:cs="Georgia" w:eastAsia="Georgia" w:hAnsi="Georgia"/>
          <w:color w:val="3a3a3a"/>
          <w:sz w:val="24"/>
          <w:szCs w:val="24"/>
        </w:rPr>
        <w:t xml:space="preserve">GI Bill education benefits were administered by the Veterans Administration but disbursed through colleges and universities. In the South — where the majority of Black veterans lived — public universities were segregated. Historically Black Colleges and Universities (HBCUs) were overwhelmed: by 1947, over 70,000 Black veterans applied to HBCUs that had capacity for approximately 35,000 total students.</w:t>
      </w:r>
    </w:p>
    <w:p>
      <w:pPr>
        <w:spacing w:after="200" w:before="0" w:line="312"/>
        <w:jc w:val="both"/>
      </w:pPr>
      <w:r>
        <w:rPr>
          <w:rFonts w:ascii="Georgia" w:cs="Georgia" w:eastAsia="Georgia" w:hAnsi="Georgia"/>
          <w:color w:val="3a3a3a"/>
          <w:sz w:val="24"/>
          <w:szCs w:val="24"/>
        </w:rPr>
        <w:t xml:space="preserve">White veterans attended flagship state universities with expanding facilities funded by the GI Bill influx. Black veterans were turned away from those same universities by law and could not find seats at underfunded HBCUs. The result: 28% of white veterans used GI Bill education benefits compared to 12% of Black veterans. The college degree gap that exists today traces directly to this disparity.</w:t>
      </w:r>
    </w:p>
    <w:p>
      <w:pPr>
        <w:pStyle w:val="Heading2"/>
        <w:spacing w:after="200" w:before="280"/>
      </w:pPr>
      <w:r>
        <w:rPr>
          <w:rFonts w:ascii="Georgia" w:cs="Georgia" w:eastAsia="Georgia" w:hAnsi="Georgia"/>
          <w:b/>
          <w:bCs/>
          <w:color w:val="1a1a1a"/>
          <w:sz w:val="30"/>
          <w:szCs w:val="30"/>
        </w:rPr>
        <w:t xml:space="preserve">6.2 — Homeownership</w:t>
      </w:r>
    </w:p>
    <w:p>
      <w:pPr>
        <w:spacing w:after="200" w:before="0" w:line="312"/>
        <w:jc w:val="both"/>
      </w:pPr>
      <w:r>
        <w:rPr>
          <w:rFonts w:ascii="Georgia" w:cs="Georgia" w:eastAsia="Georgia" w:hAnsi="Georgia"/>
          <w:color w:val="3a3a3a"/>
          <w:sz w:val="24"/>
          <w:szCs w:val="24"/>
        </w:rPr>
        <w:t xml:space="preserve">The GI Bill’s home loan guarantee was administered through private banks. The same banks that used FHA redlining maps to deny mortgages in Black neighborhoods used those same maps to deny GI Bill home loans. The VA did not require banks to lend without discrimination. The VA deferred to local banking practices. Local banking practices were redlining.</w:t>
      </w:r>
    </w:p>
    <w:p>
      <w:pPr>
        <w:spacing w:after="200" w:before="0" w:line="312"/>
        <w:jc w:val="both"/>
      </w:pPr>
      <w:r>
        <w:rPr>
          <w:rFonts w:ascii="Georgia" w:cs="Georgia" w:eastAsia="Georgia" w:hAnsi="Georgia"/>
          <w:color w:val="3a3a3a"/>
          <w:sz w:val="24"/>
          <w:szCs w:val="24"/>
        </w:rPr>
        <w:t xml:space="preserve">In 1950, the VA reported that of 67,000 mortgages insured under the GI Bill in the Mississippi Valley region, fewer than 100 went to non-white veterans. The GI Bill built Levittown. It built the suburbs. It built the asset base of the white middle class. It did this with the explicit exclusion of the Black veterans who had earned the same benefit.</w:t>
      </w:r>
    </w:p>
    <w:p>
      <w:pPr>
        <w:pStyle w:val="Heading2"/>
        <w:spacing w:after="200" w:before="280"/>
      </w:pPr>
      <w:r>
        <w:rPr>
          <w:rFonts w:ascii="Georgia" w:cs="Georgia" w:eastAsia="Georgia" w:hAnsi="Georgia"/>
          <w:b/>
          <w:bCs/>
          <w:color w:val="1a1a1a"/>
          <w:sz w:val="30"/>
          <w:szCs w:val="30"/>
        </w:rPr>
        <w:t xml:space="preserve">6.3 — The Wealth Effect</w:t>
      </w:r>
    </w:p>
    <w:p>
      <w:pPr>
        <w:spacing w:after="200" w:before="0" w:line="312"/>
        <w:jc w:val="both"/>
      </w:pPr>
      <w:r>
        <w:rPr>
          <w:rFonts w:ascii="Georgia" w:cs="Georgia" w:eastAsia="Georgia" w:hAnsi="Georgia"/>
          <w:color w:val="3a3a3a"/>
          <w:sz w:val="24"/>
          <w:szCs w:val="24"/>
        </w:rPr>
        <w:t xml:space="preserve">A 2017 study by the National Bureau of Economic Research estimated that the GI Bill increased white household wealth by an average of $12,000 in 1970 dollars — approximately $95,000 in 2024 dollars. The same study found no statistically significant wealth effect for Black veterans, because the benefits were systematically denied or diminished.</w:t>
      </w:r>
    </w:p>
    <w:p>
      <w:pPr>
        <w:spacing w:after="200" w:before="0" w:line="312"/>
        <w:jc w:val="both"/>
      </w:pPr>
      <w:r>
        <w:rPr>
          <w:rFonts w:ascii="Georgia" w:cs="Georgia" w:eastAsia="Georgia" w:hAnsi="Georgia"/>
          <w:color w:val="3a3a3a"/>
          <w:sz w:val="24"/>
          <w:szCs w:val="24"/>
        </w:rPr>
        <w:t xml:space="preserve">The GI Bill created an estimated $4–6 trillion in wealth for white families between 1944 and 2000 (through homeownership appreciation, education-driven income growth, and intergenerational transfer). The Black share of this wealth creation was near zero.</w:t>
      </w:r>
    </w:p>
    <w:p>
      <w:pPr>
        <w:spacing w:after="200" w:before="0" w:line="312"/>
        <w:jc w:val="both"/>
      </w:pPr>
      <w:r>
        <w:rPr>
          <w:rFonts w:ascii="Georgia" w:cs="Georgia" w:eastAsia="Georgia" w:hAnsi="Georgia"/>
          <w:color w:val="3a3a3a"/>
          <w:sz w:val="24"/>
          <w:szCs w:val="24"/>
        </w:rPr>
        <w:t xml:space="preserve">One law. Race-neutral text. Discriminatory administration. Trillions of dollars in wealth difference. This is the architecture.</w:t>
      </w:r>
    </w:p>
    <w:p>
      <w:r>
        <w:br w:type="page"/>
      </w:r>
    </w:p>
    <w:p>
      <w:pPr>
        <w:pStyle w:val="Heading1"/>
        <w:spacing w:after="240" w:before="360"/>
      </w:pPr>
      <w:r>
        <w:rPr>
          <w:rFonts w:ascii="Georgia" w:cs="Georgia" w:eastAsia="Georgia" w:hAnsi="Georgia"/>
          <w:b/>
          <w:bCs/>
          <w:color w:val="1a1a1a"/>
          <w:sz w:val="36"/>
          <w:szCs w:val="36"/>
        </w:rPr>
        <w:t xml:space="preserve">Chapter 7: Levittown and the Suburban Color Line (1947–1960)</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William Levitt built 17,447 homes in the first Levittown (Long Island, New York) between 1947 and 1951. Every buyer was white. This was not informal. The original lease agreements included a clause: “The tenant agrees not to permit the premises to be used or occupied by any person other than members of the Caucasian race.”</w:t>
      </w:r>
    </w:p>
    <w:p>
      <w:pPr>
        <w:spacing w:after="200" w:before="0" w:line="312"/>
        <w:jc w:val="both"/>
      </w:pPr>
      <w:r>
        <w:rPr>
          <w:rFonts w:ascii="Georgia" w:cs="Georgia" w:eastAsia="Georgia" w:hAnsi="Georgia"/>
          <w:color w:val="3a3a3a"/>
          <w:sz w:val="24"/>
          <w:szCs w:val="24"/>
        </w:rPr>
        <w:t xml:space="preserve">Levittown homes sold for $7,990 in 1947 — approximately $110,000 in 2024 dollars. By 2024, the median home value in Levittown, NY was approximately $575,000. A white family that purchased a Levittown home in 1947 saw their $7,990 investment grow to $575,000 — a 72x return over 77 years. Black families were contractually excluded from making this investment.</w:t>
      </w:r>
    </w:p>
    <w:p>
      <w:pPr>
        <w:spacing w:after="200" w:before="0" w:line="312"/>
        <w:jc w:val="both"/>
      </w:pPr>
      <w:r>
        <w:rPr>
          <w:rFonts w:ascii="Georgia" w:cs="Georgia" w:eastAsia="Georgia" w:hAnsi="Georgia"/>
          <w:color w:val="3a3a3a"/>
          <w:sz w:val="24"/>
          <w:szCs w:val="24"/>
        </w:rPr>
        <w:t xml:space="preserve">Levittown was not unique. It was the model. The postwar suburban development pattern — FHA-insured, VA-guaranteed, racially restricted — was replicated in every metropolitan area in the country. The suburbs were not just white by custom. They were white by contract, by policy, by law, and by federal subsidy.</w:t>
      </w:r>
    </w:p>
    <w:p>
      <w:pPr>
        <w:pStyle w:val="Heading2"/>
        <w:spacing w:after="200" w:before="280"/>
      </w:pPr>
      <w:r>
        <w:rPr>
          <w:rFonts w:ascii="Georgia" w:cs="Georgia" w:eastAsia="Georgia" w:hAnsi="Georgia"/>
          <w:b/>
          <w:bCs/>
          <w:color w:val="1a1a1a"/>
          <w:sz w:val="30"/>
          <w:szCs w:val="30"/>
        </w:rPr>
        <w:t xml:space="preserve">7.1 — The Homeownership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c>
          <w:tcPr>
            <w:tcW w:type="dxa" w:w="1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6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White Homeownership</w:t>
            </w:r>
          </w:p>
        </w:tc>
        <w:tc>
          <w:tcPr>
            <w:tcW w:type="dxa" w:w="26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 Homeownership</w:t>
            </w:r>
          </w:p>
        </w:tc>
        <w:tc>
          <w:tcPr>
            <w:tcW w:type="dxa" w:w="26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1940</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46%</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23%</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b2c20"/>
                <w:sz w:val="20"/>
                <w:szCs w:val="20"/>
              </w:rPr>
              <w:t xml:space="preserve">23 points</w:t>
            </w:r>
          </w:p>
        </w:tc>
      </w:tr>
      <w:tr>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1950</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57%</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35%</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22 points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1960</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64%</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38%</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b2c20"/>
                <w:sz w:val="20"/>
                <w:szCs w:val="20"/>
              </w:rPr>
              <w:t xml:space="preserve">26 points</w:t>
            </w:r>
          </w:p>
        </w:tc>
      </w:tr>
      <w:tr>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1970</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66%</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42%</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24 points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2000</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74%</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47%</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b2c20"/>
                <w:sz w:val="20"/>
                <w:szCs w:val="20"/>
              </w:rPr>
              <w:t xml:space="preserve">27 points</w:t>
            </w:r>
          </w:p>
        </w:tc>
      </w:tr>
      <w:tr>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2024</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74%</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44%</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5b2c20"/>
                <w:sz w:val="20"/>
                <w:szCs w:val="20"/>
              </w:rPr>
              <w:t xml:space="preserve">30 points</w:t>
            </w:r>
          </w:p>
        </w:tc>
      </w:tr>
    </w:tbl>
    <w:p>
      <w:pPr>
        <w:spacing w:after="0" w:before="200"/>
      </w:pPr>
    </w:p>
    <w:p>
      <w:pPr>
        <w:spacing w:after="200" w:before="0" w:line="312"/>
        <w:jc w:val="both"/>
      </w:pPr>
      <w:r>
        <w:rPr>
          <w:rFonts w:ascii="Georgia" w:cs="Georgia" w:eastAsia="Georgia" w:hAnsi="Georgia"/>
          <w:color w:val="3a3a3a"/>
          <w:sz w:val="24"/>
          <w:szCs w:val="24"/>
        </w:rPr>
        <w:t xml:space="preserve">Source: U.S. Census Bureau, Housing Vacancies and Homeownership (CPS/HVS). Note that the gap is wider in 2024 (30 points) than it was in 1940 (23 points). Ninety-five years of policy have widened the homeownership gap, not narrowed it.</w:t>
      </w:r>
    </w:p>
    <w:p>
      <w:r>
        <w:br w:type="page"/>
      </w:r>
    </w:p>
    <w:p>
      <w:pPr>
        <w:pStyle w:val="Heading1"/>
        <w:spacing w:after="240" w:before="360"/>
      </w:pPr>
      <w:r>
        <w:rPr>
          <w:rFonts w:ascii="Georgia" w:cs="Georgia" w:eastAsia="Georgia" w:hAnsi="Georgia"/>
          <w:b/>
          <w:bCs/>
          <w:color w:val="1a1a1a"/>
          <w:sz w:val="36"/>
          <w:szCs w:val="36"/>
        </w:rPr>
        <w:t xml:space="preserve">Chapter 8: Brown, Montgomery, and the Economics of Resistance (1954–1956)</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Brown v. Board of Education (1954) declared segregated public schools unconstitutional. The Montgomery Bus Boycott (1955–1956) demonstrated the economic power of Black consumers. Both victories were real. Neither closed the wage gap.</w:t>
      </w:r>
    </w:p>
    <w:p>
      <w:pPr>
        <w:spacing w:after="200" w:before="0" w:line="312"/>
        <w:jc w:val="both"/>
      </w:pPr>
      <w:r>
        <w:rPr>
          <w:rFonts w:ascii="Georgia" w:cs="Georgia" w:eastAsia="Georgia" w:hAnsi="Georgia"/>
          <w:color w:val="3a3a3a"/>
          <w:sz w:val="24"/>
          <w:szCs w:val="24"/>
        </w:rPr>
        <w:t xml:space="preserve">Brown led to decades of resistance. “Massive resistance” in the South included school closures (Prince Edward County, Virginia closed its public schools for five years rather than integrate), tuition grants for white students to attend private “seg academies,” and systematic underfunding of integrated schools.</w:t>
      </w:r>
    </w:p>
    <w:p>
      <w:pPr>
        <w:spacing w:after="200" w:before="0" w:line="312"/>
        <w:jc w:val="both"/>
      </w:pPr>
      <w:r>
        <w:rPr>
          <w:rFonts w:ascii="Georgia" w:cs="Georgia" w:eastAsia="Georgia" w:hAnsi="Georgia"/>
          <w:color w:val="3a3a3a"/>
          <w:sz w:val="24"/>
          <w:szCs w:val="24"/>
        </w:rPr>
        <w:t xml:space="preserve">The economic dimension of resistance is underexamined. White flight from integrated school districts moved tax base to suburbs, defunding urban schools. The quality of education available to Black students declined in many areas after Brown, because the resources followed the white students who left. Integration without equitable funding is desegregation on paper and resegregation in practice.</w:t>
      </w:r>
    </w:p>
    <w:p>
      <w:pPr>
        <w:spacing w:after="200" w:before="0" w:line="312"/>
        <w:jc w:val="both"/>
      </w:pPr>
      <w:r>
        <w:rPr>
          <w:rFonts w:ascii="Georgia" w:cs="Georgia" w:eastAsia="Georgia" w:hAnsi="Georgia"/>
          <w:color w:val="3a3a3a"/>
          <w:sz w:val="24"/>
          <w:szCs w:val="24"/>
        </w:rPr>
        <w:t xml:space="preserve">The Montgomery boycott cost the city’s bus system an estimated $750,000 over 381 days (approximately $8.5 million in 2024 dollars). It demonstrated that the Black community’s consumer spending was economically significant — and that withdrawing it could force structural change. But consumer leverage is not the same as wealth. The boycotters walked to work because they couldn’t afford the political cost of driving. The economic victory was extracted from economic hardship.</w:t>
      </w:r>
    </w:p>
    <w:p>
      <w:r>
        <w:br w:type="page"/>
      </w:r>
    </w:p>
    <w:p>
      <w:pPr>
        <w:pStyle w:val="Heading1"/>
        <w:spacing w:after="240" w:before="360"/>
      </w:pPr>
      <w:r>
        <w:rPr>
          <w:rFonts w:ascii="Georgia" w:cs="Georgia" w:eastAsia="Georgia" w:hAnsi="Georgia"/>
          <w:b/>
          <w:bCs/>
          <w:color w:val="1a1a1a"/>
          <w:sz w:val="36"/>
          <w:szCs w:val="36"/>
        </w:rPr>
        <w:t xml:space="preserve">Chapter 9: Equal Pay Act and Civil Rights Act (1963–1964)</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The Equal Pay Act of 1963 prohibited gender-based wage discrimination for substantially similar work. The Civil Rights Act of 1964, Title VII, prohibited employment discrimination based on race, color, religion, sex, or national origin. Together, these laws should have closed the wage gap. They did not.</w:t>
      </w:r>
    </w:p>
    <w:p>
      <w:pPr>
        <w:pStyle w:val="Heading2"/>
        <w:spacing w:after="200" w:before="280"/>
      </w:pPr>
      <w:r>
        <w:rPr>
          <w:rFonts w:ascii="Georgia" w:cs="Georgia" w:eastAsia="Georgia" w:hAnsi="Georgia"/>
          <w:b/>
          <w:bCs/>
          <w:color w:val="1a1a1a"/>
          <w:sz w:val="30"/>
          <w:szCs w:val="30"/>
        </w:rPr>
        <w:t xml:space="preserve">9.1 — The Equal Pay Act</w:t>
      </w:r>
    </w:p>
    <w:p>
      <w:pPr>
        <w:spacing w:after="200" w:before="0" w:line="312"/>
        <w:jc w:val="both"/>
      </w:pPr>
      <w:r>
        <w:rPr>
          <w:rFonts w:ascii="Georgia" w:cs="Georgia" w:eastAsia="Georgia" w:hAnsi="Georgia"/>
          <w:color w:val="3a3a3a"/>
          <w:sz w:val="24"/>
          <w:szCs w:val="24"/>
        </w:rPr>
        <w:t xml:space="preserve">In 1963, women earned 59 cents for every dollar earned by men. The Equal Pay Act was narrow: it applied only to “equal work on jobs the performance of which requires equal skill, effort, and responsibility.” Employers responded by giving slightly different job titles to women doing the same work. “Administrative assistant” (female, lower paid) vs. “Administrative coordinator” (male, higher paid). The law attacked the symptom without addressing the architecture: occupational segregation, hiring discrimination, and promotion ceilings.</w:t>
      </w:r>
    </w:p>
    <w:p>
      <w:pPr>
        <w:spacing w:after="200" w:before="0" w:line="312"/>
        <w:jc w:val="both"/>
      </w:pPr>
      <w:r>
        <w:rPr>
          <w:rFonts w:ascii="Georgia" w:cs="Georgia" w:eastAsia="Georgia" w:hAnsi="Georgia"/>
          <w:color w:val="3a3a3a"/>
          <w:sz w:val="24"/>
          <w:szCs w:val="24"/>
        </w:rPr>
        <w:t xml:space="preserve">By 2024, women earn 83.6 cents per dollar. It took 61 years to close 24.6 cents of a 41-cent gap. At this rate of convergence, the gender wage gap will close in approximately 2073 — 110 years after the law was passed.</w:t>
      </w:r>
    </w:p>
    <w:p>
      <w:pPr>
        <w:pStyle w:val="Heading2"/>
        <w:spacing w:after="200" w:before="280"/>
      </w:pPr>
      <w:r>
        <w:rPr>
          <w:rFonts w:ascii="Georgia" w:cs="Georgia" w:eastAsia="Georgia" w:hAnsi="Georgia"/>
          <w:b/>
          <w:bCs/>
          <w:color w:val="1a1a1a"/>
          <w:sz w:val="30"/>
          <w:szCs w:val="30"/>
        </w:rPr>
        <w:t xml:space="preserve">9.2 — The Civil Rights Act</w:t>
      </w:r>
    </w:p>
    <w:p>
      <w:pPr>
        <w:spacing w:after="200" w:before="0" w:line="312"/>
        <w:jc w:val="both"/>
      </w:pPr>
      <w:r>
        <w:rPr>
          <w:rFonts w:ascii="Georgia" w:cs="Georgia" w:eastAsia="Georgia" w:hAnsi="Georgia"/>
          <w:color w:val="3a3a3a"/>
          <w:sz w:val="24"/>
          <w:szCs w:val="24"/>
        </w:rPr>
        <w:t xml:space="preserve">Title VII created the Equal Employment Opportunity Commission (EEOC) to investigate complaints of employment discrimination. The EEOC was initially given no enforcement power — it could investigate, conciliate, and recommend. It could not sue. Enforcement power was not granted until the Equal Employment Opportunity Act of 1972.</w:t>
      </w:r>
    </w:p>
    <w:p>
      <w:pPr>
        <w:spacing w:after="200" w:before="0" w:line="312"/>
        <w:jc w:val="both"/>
      </w:pPr>
      <w:r>
        <w:rPr>
          <w:rFonts w:ascii="Georgia" w:cs="Georgia" w:eastAsia="Georgia" w:hAnsi="Georgia"/>
          <w:color w:val="3a3a3a"/>
          <w:sz w:val="24"/>
          <w:szCs w:val="24"/>
        </w:rPr>
        <w:t xml:space="preserve">For eight years (1964–1972), the federal civil rights enforcement agency for employment had no teeth. Complaints were filed, investigated, and filed away. The median racial income ratio moved from 56% in 1964 to 61% in 1972 — five percentage points in eight years, during the most active civil rights enforcement period in American history.</w:t>
      </w:r>
    </w:p>
    <w:p>
      <w:pPr>
        <w:pStyle w:val="Heading2"/>
        <w:spacing w:after="200" w:before="280"/>
      </w:pPr>
      <w:r>
        <w:rPr>
          <w:rFonts w:ascii="Georgia" w:cs="Georgia" w:eastAsia="Georgia" w:hAnsi="Georgia"/>
          <w:b/>
          <w:bCs/>
          <w:color w:val="1a1a1a"/>
          <w:sz w:val="30"/>
          <w:szCs w:val="30"/>
        </w:rPr>
        <w:t xml:space="preserve">9.3 — The Persistence of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c>
          <w:tcPr>
            <w:tcW w:type="dxa" w:w="1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6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Black/White Income Ratio</w:t>
            </w:r>
          </w:p>
        </w:tc>
        <w:tc>
          <w:tcPr>
            <w:tcW w:type="dxa" w:w="26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Women/Men Earnings Ratio</w:t>
            </w:r>
          </w:p>
        </w:tc>
        <w:tc>
          <w:tcPr>
            <w:tcW w:type="dxa" w:w="26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 Event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1963</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55%</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59%</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Equal Pay Act</w:t>
            </w:r>
          </w:p>
        </w:tc>
      </w:tr>
      <w:tr>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1964</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56%</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59%</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Civil Rights Act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1970</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61%</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59%</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EEOC still toothless</w:t>
            </w:r>
          </w:p>
        </w:tc>
      </w:tr>
      <w:tr>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3a3a3a"/>
                <w:sz w:val="20"/>
                <w:szCs w:val="20"/>
              </w:rPr>
              <w:t xml:space="preserve">1975</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63%</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59%</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a3a3a"/>
                <w:sz w:val="20"/>
                <w:szCs w:val="20"/>
              </w:rPr>
              <w:t xml:space="preserve">Recession + stall</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1980</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63%</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60%</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Gender stall begins</w:t>
            </w:r>
          </w:p>
        </w:tc>
      </w:tr>
    </w:tbl>
    <w:p>
      <w:pPr>
        <w:spacing w:after="0" w:before="200"/>
      </w:pPr>
    </w:p>
    <w:p>
      <w:pPr>
        <w:spacing w:after="200" w:before="0" w:line="312"/>
        <w:jc w:val="both"/>
      </w:pPr>
      <w:r>
        <w:rPr>
          <w:rFonts w:ascii="Georgia" w:cs="Georgia" w:eastAsia="Georgia" w:hAnsi="Georgia"/>
          <w:color w:val="3a3a3a"/>
          <w:sz w:val="24"/>
          <w:szCs w:val="24"/>
        </w:rPr>
        <w:t xml:space="preserve">The table reveals the pattern: laws pass, the gap narrows slightly, then stalls. The structural architecture — residential segregation, occupational segregation, educational inequity, wealth accumulation exclusion — was not addressed by the laws. The laws prohibited the most visible forms of discrimination. The invisible forms continued.</w:t>
      </w:r>
    </w:p>
    <w:p>
      <w:r>
        <w:br w:type="page"/>
      </w:r>
    </w:p>
    <w:p>
      <w:pPr>
        <w:pStyle w:val="Heading1"/>
        <w:spacing w:after="240" w:before="360"/>
      </w:pPr>
      <w:r>
        <w:rPr>
          <w:rFonts w:ascii="Georgia" w:cs="Georgia" w:eastAsia="Georgia" w:hAnsi="Georgia"/>
          <w:b/>
          <w:bCs/>
          <w:color w:val="1a1a1a"/>
          <w:sz w:val="36"/>
          <w:szCs w:val="36"/>
        </w:rPr>
        <w:t xml:space="preserve">Chapter 10: The Kerner Commission — Two Societies (1968)</w:t>
      </w:r>
    </w:p>
    <w:p>
      <w:pPr>
        <w:pBdr>
          <w:bottom w:val="single" w:color="5b2c20" w:sz="4" w:space="1"/>
        </w:pBdr>
        <w:spacing w:after="200" w:before="200"/>
      </w:pPr>
    </w:p>
    <w:p>
      <w:pPr>
        <w:spacing w:after="200" w:before="0" w:line="312"/>
        <w:jc w:val="both"/>
      </w:pPr>
      <w:r>
        <w:rPr>
          <w:rFonts w:ascii="Georgia" w:cs="Georgia" w:eastAsia="Georgia" w:hAnsi="Georgia"/>
          <w:color w:val="3a3a3a"/>
          <w:sz w:val="24"/>
          <w:szCs w:val="24"/>
        </w:rPr>
        <w:t xml:space="preserve">After the long hot summers of 1965–1967 — urban uprisings in Watts, Newark, Detroit, and dozens of other cities — President Lyndon Johnson appointed the National Advisory Commission on Civil Disorders, chaired by Illinois Governor Otto Kerner. The commission’s report, released February 29, 1968, included what may be the most famous sentence in American social policy:</w:t>
      </w:r>
    </w:p>
    <w:p>
      <w:pPr>
        <w:spacing w:after="200" w:before="200"/>
        <w:ind w:left="720" w:right="720"/>
      </w:pPr>
      <w:r>
        <w:rPr>
          <w:rFonts w:ascii="Georgia" w:cs="Georgia" w:eastAsia="Georgia" w:hAnsi="Georgia"/>
          <w:i/>
          <w:iCs/>
          <w:color w:val="5b2c20"/>
          <w:sz w:val="24"/>
          <w:szCs w:val="24"/>
        </w:rPr>
        <w:t xml:space="preserve">Our nation is moving toward two societies, one black, one white — separate and unequal.</w:t>
      </w:r>
    </w:p>
    <w:p>
      <w:pPr>
        <w:spacing w:after="200" w:before="0" w:line="312"/>
        <w:jc w:val="both"/>
      </w:pPr>
      <w:r>
        <w:rPr>
          <w:rFonts w:ascii="Georgia" w:cs="Georgia" w:eastAsia="Georgia" w:hAnsi="Georgia"/>
          <w:color w:val="3a3a3a"/>
          <w:sz w:val="24"/>
          <w:szCs w:val="24"/>
        </w:rPr>
        <w:t xml:space="preserve">The Kerner Report identified specific structural causes: residential segregation enforced by federal policy, employment discrimination perpetuated by union exclusion and hiring practices, underfunded schools in Black communities, inadequate social services, and a criminal justice system that functioned as an occupying force in Black neighborhoods.</w:t>
      </w:r>
    </w:p>
    <w:p>
      <w:pPr>
        <w:pStyle w:val="Heading2"/>
        <w:spacing w:after="200" w:before="280"/>
      </w:pPr>
      <w:r>
        <w:rPr>
          <w:rFonts w:ascii="Georgia" w:cs="Georgia" w:eastAsia="Georgia" w:hAnsi="Georgia"/>
          <w:b/>
          <w:bCs/>
          <w:color w:val="1a1a1a"/>
          <w:sz w:val="30"/>
          <w:szCs w:val="30"/>
        </w:rPr>
        <w:t xml:space="preserve">10.1 — The Recommendations</w:t>
      </w:r>
    </w:p>
    <w:p>
      <w:pPr>
        <w:spacing w:after="200" w:before="0" w:line="312"/>
        <w:jc w:val="both"/>
      </w:pPr>
      <w:r>
        <w:rPr>
          <w:rFonts w:ascii="Georgia" w:cs="Georgia" w:eastAsia="Georgia" w:hAnsi="Georgia"/>
          <w:color w:val="3a3a3a"/>
          <w:sz w:val="24"/>
          <w:szCs w:val="24"/>
        </w:rPr>
        <w:t xml:space="preserve">The commission recommended massive federal investment in housing, education, employment, and social services for urban Black communities. It recommended desegregation of suburbs, reform of welfare, and restructuring of police-community relations. Total estimated cost: approximately $30 billion per year ($260 billion in 2024 dollars).</w:t>
      </w:r>
    </w:p>
    <w:p>
      <w:pPr>
        <w:spacing w:after="200" w:before="0" w:line="312"/>
        <w:jc w:val="both"/>
      </w:pPr>
      <w:r>
        <w:rPr>
          <w:rFonts w:ascii="Georgia" w:cs="Georgia" w:eastAsia="Georgia" w:hAnsi="Georgia"/>
          <w:color w:val="3a3a3a"/>
          <w:sz w:val="24"/>
          <w:szCs w:val="24"/>
        </w:rPr>
        <w:t xml:space="preserve">None of the major recommendations were implemented. Johnson, facing Vietnam War costs and political opposition, shelved the report. Nixon, elected in 1968, ran on a “law and order” platform that treated the uprisings as criminal behavior rather than as responses to structural conditions. The Kerner Commission diagnosed the disease. The political system treated the symptoms and punished the patients.</w:t>
      </w:r>
    </w:p>
    <w:p>
      <w:pPr>
        <w:pStyle w:val="Heading2"/>
        <w:spacing w:after="200" w:before="280"/>
      </w:pPr>
      <w:r>
        <w:rPr>
          <w:rFonts w:ascii="Georgia" w:cs="Georgia" w:eastAsia="Georgia" w:hAnsi="Georgia"/>
          <w:b/>
          <w:bCs/>
          <w:color w:val="1a1a1a"/>
          <w:sz w:val="30"/>
          <w:szCs w:val="30"/>
        </w:rPr>
        <w:t xml:space="preserve">10.2 — The Numbers the Kerner Commission Found</w:t>
      </w:r>
    </w:p>
    <w:p>
      <w:pPr>
        <w:spacing w:after="200" w:before="0" w:line="312"/>
        <w:jc w:val="both"/>
      </w:pPr>
      <w:r>
        <w:rPr>
          <w:rFonts w:ascii="Georgia" w:cs="Georgia" w:eastAsia="Georgia" w:hAnsi="Georgia"/>
          <w:color w:val="3a3a3a"/>
          <w:sz w:val="24"/>
          <w:szCs w:val="24"/>
        </w:rPr>
        <w:t xml:space="preserve">In 1968, the commission documented: Black unemployment was twice white unemployment (the same ratio as 2026). Black median family income was 58% of white median family income. 40% of Black families lived below the poverty line. Black infant mortality was twice white infant mortality. Life expectancy for Black Americans was 7 years shorter than for white Americans.</w:t>
      </w:r>
    </w:p>
    <w:p>
      <w:pPr>
        <w:spacing w:after="200" w:before="0" w:line="312"/>
        <w:jc w:val="both"/>
      </w:pPr>
      <w:r>
        <w:rPr>
          <w:rFonts w:ascii="Georgia" w:cs="Georgia" w:eastAsia="Georgia" w:hAnsi="Georgia"/>
          <w:color w:val="3a3a3a"/>
          <w:sz w:val="24"/>
          <w:szCs w:val="24"/>
        </w:rPr>
        <w:t xml:space="preserve">In 2026: Black unemployment is 1.7x white unemployment. Black median household income is approximately 64% of white median household income. 18% of Black families live below the poverty line (vs. 8% white). Black infant mortality is 2.3x white infant mortality. Life expectancy gap: 4.8 years (74.8 vs. 79.6).</w:t>
      </w:r>
    </w:p>
    <w:p>
      <w:pPr>
        <w:spacing w:after="200" w:before="0" w:line="312"/>
        <w:jc w:val="both"/>
      </w:pPr>
      <w:r>
        <w:rPr>
          <w:rFonts w:ascii="Georgia" w:cs="Georgia" w:eastAsia="Georgia" w:hAnsi="Georgia"/>
          <w:color w:val="3a3a3a"/>
          <w:sz w:val="24"/>
          <w:szCs w:val="24"/>
        </w:rPr>
        <w:t xml:space="preserve">In 58 years since the Kerner Report, the income ratio improved from 58% to 64% — six percentage points. At this rate, income parity will be reached approximately never. The unemployment ratio has barely changed. Infant mortality has worsened relatively. The commission said “two societies.” The data says: still two societies.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1931 TO 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2026-04-01T23:50:17.207Z</dcterms:created>
  <dcterms:modified xsi:type="dcterms:W3CDTF">2026-04-01T23:50:17.207Z</dcterms:modified>
</cp:coreProperties>
</file>

<file path=docProps/custom.xml><?xml version="1.0" encoding="utf-8"?>
<Properties xmlns="http://schemas.openxmlformats.org/officeDocument/2006/custom-properties" xmlns:vt="http://schemas.openxmlformats.org/officeDocument/2006/docPropsVTypes"/>
</file>