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100" w:before="0" w:line="312"/>
        <w:jc w:val="center"/>
      </w:pPr>
      <w:r>
        <w:rPr>
          <w:rFonts w:ascii="Arial" w:cs="Arial" w:eastAsia="Arial" w:hAnsi="Arial"/>
          <w:b/>
          <w:bCs/>
          <w:color w:val="1a1a1a"/>
          <w:sz w:val="40"/>
          <w:szCs w:val="40"/>
        </w:rPr>
        <w:t xml:space="preserve">PART III</w:t>
      </w:r>
    </w:p>
    <w:p>
      <w:pPr>
        <w:pBdr>
          <w:bottom w:val="single" w:color="5b2c20" w:sz="4" w:space="1"/>
        </w:pBdr>
        <w:spacing w:after="200" w:before="200"/>
      </w:pPr>
    </w:p>
    <w:p>
      <w:pPr>
        <w:spacing w:after="200" w:before="0" w:line="312"/>
        <w:jc w:val="center"/>
      </w:pPr>
      <w:r>
        <w:rPr>
          <w:rFonts w:ascii="Georgia" w:cs="Georgia" w:eastAsia="Georgia" w:hAnsi="Georgia"/>
          <w:color w:val="5b2c20"/>
          <w:sz w:val="32"/>
          <w:szCs w:val="32"/>
        </w:rPr>
        <w:t xml:space="preserve">THE STALL (1968–1990)</w:t>
      </w:r>
    </w:p>
    <w:p>
      <w:pPr>
        <w:spacing w:after="0" w:before="400"/>
      </w:pPr>
    </w:p>
    <w:p>
      <w:pPr>
        <w:spacing w:after="200" w:before="200"/>
        <w:ind w:left="720" w:right="720"/>
      </w:pPr>
      <w:r>
        <w:rPr>
          <w:rFonts w:ascii="Georgia" w:cs="Georgia" w:eastAsia="Georgia" w:hAnsi="Georgia"/>
          <w:i/>
          <w:iCs/>
          <w:color w:val="5b2c20"/>
          <w:sz w:val="24"/>
          <w:szCs w:val="24"/>
        </w:rPr>
        <w:t xml:space="preserve">The civil rights laws changed what was legal. They did not change what was profitable. The gap found new architecture.</w:t>
      </w:r>
    </w:p>
    <w:p>
      <w:r>
        <w:br w:type="page"/>
      </w:r>
    </w:p>
    <w:p>
      <w:pPr>
        <w:pStyle w:val="Heading1"/>
        <w:spacing w:after="240" w:before="360"/>
      </w:pPr>
      <w:r>
        <w:rPr>
          <w:rFonts w:ascii="Georgia" w:cs="Georgia" w:eastAsia="Georgia" w:hAnsi="Georgia"/>
          <w:b/>
          <w:bCs/>
          <w:color w:val="1a1a1a"/>
          <w:sz w:val="36"/>
          <w:szCs w:val="36"/>
        </w:rPr>
        <w:t xml:space="preserve">Chapter 11: Nixon, Philadelphia, and Affirmative Action (1969–1978)</w:t>
      </w:r>
    </w:p>
    <w:p>
      <w:pPr>
        <w:pBdr>
          <w:bottom w:val="single" w:color="5b2c20" w:sz="4" w:space="1"/>
        </w:pBdr>
        <w:spacing w:after="200" w:before="200"/>
      </w:pPr>
    </w:p>
    <w:p>
      <w:pPr>
        <w:spacing w:after="200" w:before="0" w:line="312"/>
        <w:jc w:val="both"/>
      </w:pPr>
      <w:r>
        <w:rPr>
          <w:rFonts w:ascii="Georgia" w:cs="Georgia" w:eastAsia="Georgia" w:hAnsi="Georgia"/>
          <w:color w:val="3a3a3a"/>
          <w:sz w:val="24"/>
          <w:szCs w:val="24"/>
        </w:rPr>
        <w:t xml:space="preserve">Richard Nixon, elected on a “law and order” platform in 1968, implemented the most significant affirmative action program in American history. This is not a paradox. It is strategy.</w:t>
      </w:r>
    </w:p>
    <w:p>
      <w:pPr>
        <w:spacing w:after="200" w:before="0" w:line="312"/>
        <w:jc w:val="both"/>
      </w:pPr>
      <w:r>
        <w:rPr>
          <w:rFonts w:ascii="Georgia" w:cs="Georgia" w:eastAsia="Georgia" w:hAnsi="Georgia"/>
          <w:color w:val="3a3a3a"/>
          <w:sz w:val="24"/>
          <w:szCs w:val="24"/>
        </w:rPr>
        <w:t xml:space="preserve">The Philadelphia Plan (1969), developed by Labor Department official Arthur Fletcher, required federal contractors in Philadelphia’s construction industry to set specific goals for minority hiring. It was the first federal program to use numerical targets for racial inclusion in employment. Nixon supported it not out of racial justice but to drive a wedge between two Democratic constituencies: organized labor (which opposed minority hiring quotas) and Black voters (who supported them).</w:t>
      </w:r>
    </w:p>
    <w:p>
      <w:pPr>
        <w:spacing w:after="200" w:before="0" w:line="312"/>
        <w:jc w:val="both"/>
      </w:pPr>
      <w:r>
        <w:rPr>
          <w:rFonts w:ascii="Georgia" w:cs="Georgia" w:eastAsia="Georgia" w:hAnsi="Georgia"/>
          <w:color w:val="3a3a3a"/>
          <w:sz w:val="24"/>
          <w:szCs w:val="24"/>
        </w:rPr>
        <w:t xml:space="preserve">The Philadelphia Plan worked. Black participation in Philadelphia’s construction unions increased from under 1% to approximately 12% within five years. The concept expanded nationally through Executive Order 11246, requiring all federal contractors to take “affirmative action” to ensure non-discriminatory employment.</w:t>
      </w:r>
    </w:p>
    <w:p>
      <w:pPr>
        <w:pStyle w:val="Heading2"/>
        <w:spacing w:after="200" w:before="280"/>
      </w:pPr>
      <w:r>
        <w:rPr>
          <w:rFonts w:ascii="Georgia" w:cs="Georgia" w:eastAsia="Georgia" w:hAnsi="Georgia"/>
          <w:b/>
          <w:bCs/>
          <w:color w:val="1a1a1a"/>
          <w:sz w:val="30"/>
          <w:szCs w:val="30"/>
        </w:rPr>
        <w:t xml:space="preserve">11.1 — The Bakke Decision (1978)</w:t>
      </w:r>
    </w:p>
    <w:p>
      <w:pPr>
        <w:spacing w:after="200" w:before="0" w:line="312"/>
        <w:jc w:val="both"/>
      </w:pPr>
      <w:r>
        <w:rPr>
          <w:rFonts w:ascii="Georgia" w:cs="Georgia" w:eastAsia="Georgia" w:hAnsi="Georgia"/>
          <w:color w:val="3a3a3a"/>
          <w:sz w:val="24"/>
          <w:szCs w:val="24"/>
        </w:rPr>
        <w:t xml:space="preserve">Regents of the University of California v. Bakke (1978) was the first Supreme Court case to address affirmative action in university admissions. Allan Bakke, a white applicant denied admission to UC Davis Medical School, argued that the school’s reservation of 16 seats (out of 100) for minority students violated the Equal Protection Clause.</w:t>
      </w:r>
    </w:p>
    <w:p>
      <w:pPr>
        <w:spacing w:after="200" w:before="0" w:line="312"/>
        <w:jc w:val="both"/>
      </w:pPr>
      <w:r>
        <w:rPr>
          <w:rFonts w:ascii="Georgia" w:cs="Georgia" w:eastAsia="Georgia" w:hAnsi="Georgia"/>
          <w:color w:val="3a3a3a"/>
          <w:sz w:val="24"/>
          <w:szCs w:val="24"/>
        </w:rPr>
        <w:t xml:space="preserve">The Court split: Justice Powell’s deciding opinion struck down rigid racial quotas but permitted race as one factor among many in admissions. This compromise — race-conscious but not race-determinative — governed affirmative action for 45 years until Students for Fair Admissions v. Harvard (2023) effectively ended race-conscious admissions.</w:t>
      </w:r>
    </w:p>
    <w:p>
      <w:pPr>
        <w:spacing w:after="200" w:before="0" w:line="312"/>
        <w:jc w:val="both"/>
      </w:pPr>
      <w:r>
        <w:rPr>
          <w:rFonts w:ascii="Georgia" w:cs="Georgia" w:eastAsia="Georgia" w:hAnsi="Georgia"/>
          <w:color w:val="3a3a3a"/>
          <w:sz w:val="24"/>
          <w:szCs w:val="24"/>
        </w:rPr>
        <w:t xml:space="preserve">The wage gap during the affirmative action era (1969–1978) narrowed from 61% to 63% for the Black/white income ratio. Two percentage points in nine years. Affirmative action moved the needle, but the needle was heavy and the thread was thin.</w:t>
      </w:r>
    </w:p>
    <w:p>
      <w:r>
        <w:br w:type="page"/>
      </w:r>
    </w:p>
    <w:p>
      <w:pPr>
        <w:pStyle w:val="Heading1"/>
        <w:spacing w:after="240" w:before="360"/>
      </w:pPr>
      <w:r>
        <w:rPr>
          <w:rFonts w:ascii="Georgia" w:cs="Georgia" w:eastAsia="Georgia" w:hAnsi="Georgia"/>
          <w:b/>
          <w:bCs/>
          <w:color w:val="1a1a1a"/>
          <w:sz w:val="36"/>
          <w:szCs w:val="36"/>
        </w:rPr>
        <w:t xml:space="preserve">Chapter 12: The Equal Rights Amendment That Wasn’t (1972–1982)</w:t>
      </w:r>
    </w:p>
    <w:p>
      <w:pPr>
        <w:pBdr>
          <w:bottom w:val="single" w:color="5b2c20" w:sz="4" w:space="1"/>
        </w:pBdr>
        <w:spacing w:after="200" w:before="200"/>
      </w:pPr>
    </w:p>
    <w:p>
      <w:pPr>
        <w:spacing w:after="200" w:before="0" w:line="312"/>
        <w:jc w:val="both"/>
      </w:pPr>
      <w:r>
        <w:rPr>
          <w:rFonts w:ascii="Georgia" w:cs="Georgia" w:eastAsia="Georgia" w:hAnsi="Georgia"/>
          <w:color w:val="3a3a3a"/>
          <w:sz w:val="24"/>
          <w:szCs w:val="24"/>
        </w:rPr>
        <w:t xml:space="preserve">The Equal Rights Amendment, passed by Congress in 1972, stated: “Equality of rights under the law shall not be denied or abridged by the United States or by any State on account of sex.” It needed 38 states to ratify. It got 35 by the original 1979 deadline. Congress extended the deadline to 1982. No additional states ratified.</w:t>
      </w:r>
    </w:p>
    <w:p>
      <w:pPr>
        <w:spacing w:after="200" w:before="0" w:line="312"/>
        <w:jc w:val="both"/>
      </w:pPr>
      <w:r>
        <w:rPr>
          <w:rFonts w:ascii="Georgia" w:cs="Georgia" w:eastAsia="Georgia" w:hAnsi="Georgia"/>
          <w:color w:val="3a3a3a"/>
          <w:sz w:val="24"/>
          <w:szCs w:val="24"/>
        </w:rPr>
        <w:t xml:space="preserve">The ERA’s failure left gender equality without a constitutional foundation. The gender wage gap in 1972 was 57.9 cents per dollar. Without constitutional backing, enforcement of gender pay equity relied on statutory law (the Equal Pay Act, Title VII) which could be and was weakened by hostile courts and underfunded enforcement agencies.</w:t>
      </w:r>
    </w:p>
    <w:p>
      <w:pPr>
        <w:spacing w:after="200" w:before="0" w:line="312"/>
        <w:jc w:val="both"/>
      </w:pPr>
      <w:r>
        <w:rPr>
          <w:rFonts w:ascii="Georgia" w:cs="Georgia" w:eastAsia="Georgia" w:hAnsi="Georgia"/>
          <w:color w:val="3a3a3a"/>
          <w:sz w:val="24"/>
          <w:szCs w:val="24"/>
        </w:rPr>
        <w:t xml:space="preserve">The practical effect: while the racial income gap showed some convergence during the 1970s (driven by affirmative action and civil rights enforcement), the gender wage gap was essentially frozen at 59–60 cents from 1963 to 1980 — seventeen years of zero progress. The Equal Pay Act existed. The gap didn’t care.</w:t>
      </w:r>
    </w:p>
    <w:p>
      <w:pPr>
        <w:spacing w:after="200" w:before="0" w:line="312"/>
        <w:jc w:val="both"/>
      </w:pPr>
      <w:r>
        <w:rPr>
          <w:rFonts w:ascii="Georgia" w:cs="Georgia" w:eastAsia="Georgia" w:hAnsi="Georgia"/>
          <w:color w:val="3a3a3a"/>
          <w:sz w:val="24"/>
          <w:szCs w:val="24"/>
        </w:rPr>
        <w:t xml:space="preserve">The ERA was reintroduced in Congress every session from 1982 to 2026. It has never been ratified. Virginia became the 38th state to ratify in 2020, but the deadline had long passed, and legal challenges remain unresolved.</w:t>
      </w:r>
    </w:p>
    <w:p>
      <w:r>
        <w:br w:type="page"/>
      </w:r>
    </w:p>
    <w:p>
      <w:pPr>
        <w:pStyle w:val="Heading1"/>
        <w:spacing w:after="240" w:before="360"/>
      </w:pPr>
      <w:r>
        <w:rPr>
          <w:rFonts w:ascii="Georgia" w:cs="Georgia" w:eastAsia="Georgia" w:hAnsi="Georgia"/>
          <w:b/>
          <w:bCs/>
          <w:color w:val="1a1a1a"/>
          <w:sz w:val="36"/>
          <w:szCs w:val="36"/>
        </w:rPr>
        <w:t xml:space="preserve">Chapter 13: Reaganomics — When the Gap Became Policy (1981–1989)</w:t>
      </w:r>
    </w:p>
    <w:p>
      <w:pPr>
        <w:pBdr>
          <w:bottom w:val="single" w:color="5b2c20" w:sz="4" w:space="1"/>
        </w:pBdr>
        <w:spacing w:after="200" w:before="200"/>
      </w:pPr>
    </w:p>
    <w:p>
      <w:pPr>
        <w:spacing w:after="200" w:before="0" w:line="312"/>
        <w:jc w:val="both"/>
      </w:pPr>
      <w:r>
        <w:rPr>
          <w:rFonts w:ascii="Georgia" w:cs="Georgia" w:eastAsia="Georgia" w:hAnsi="Georgia"/>
          <w:color w:val="3a3a3a"/>
          <w:sz w:val="24"/>
          <w:szCs w:val="24"/>
        </w:rPr>
        <w:t xml:space="preserve">Ronald Reagan’s economic program — tax cuts concentrated at the top, deregulation, weakened unions, reduced social spending — did not create the wage gap. It accelerated it.</w:t>
      </w:r>
    </w:p>
    <w:p>
      <w:pPr>
        <w:pStyle w:val="Heading2"/>
        <w:spacing w:after="200" w:before="280"/>
      </w:pPr>
      <w:r>
        <w:rPr>
          <w:rFonts w:ascii="Georgia" w:cs="Georgia" w:eastAsia="Georgia" w:hAnsi="Georgia"/>
          <w:b/>
          <w:bCs/>
          <w:color w:val="1a1a1a"/>
          <w:sz w:val="30"/>
          <w:szCs w:val="30"/>
        </w:rPr>
        <w:t xml:space="preserve">13.1 — Tax Policy</w:t>
      </w:r>
    </w:p>
    <w:p>
      <w:pPr>
        <w:spacing w:after="200" w:before="0" w:line="312"/>
        <w:jc w:val="both"/>
      </w:pPr>
      <w:r>
        <w:rPr>
          <w:rFonts w:ascii="Georgia" w:cs="Georgia" w:eastAsia="Georgia" w:hAnsi="Georgia"/>
          <w:color w:val="3a3a3a"/>
          <w:sz w:val="24"/>
          <w:szCs w:val="24"/>
        </w:rPr>
        <w:t xml:space="preserve">The Economic Recovery Tax Act of 1981 cut the top marginal income tax rate from 70% to 50%. The Tax Reform Act of 1986 cut it further to 28%. Capital gains taxes were reduced from 28% to 20%. These cuts disproportionately benefited high-income (disproportionately white) households. The revenue shortfall was offset by cuts to programs that disproportionately served low-income (disproportionately non-white) households: public housing, food assistance, Medicaid, job training.</w:t>
      </w:r>
    </w:p>
    <w:p>
      <w:pPr>
        <w:spacing w:after="200" w:before="0" w:line="312"/>
        <w:jc w:val="both"/>
      </w:pPr>
      <w:r>
        <w:rPr>
          <w:rFonts w:ascii="Georgia" w:cs="Georgia" w:eastAsia="Georgia" w:hAnsi="Georgia"/>
          <w:color w:val="3a3a3a"/>
          <w:sz w:val="24"/>
          <w:szCs w:val="24"/>
        </w:rPr>
        <w:t xml:space="preserve">The Congressional Budget Office estimated that the combined effect of Reagan-era tax and spending changes transferred approximately $150 billion (in 1980s dollars) from the bottom 80% of the income distribution to the top 20% between 1981 and 1989.</w:t>
      </w:r>
    </w:p>
    <w:p>
      <w:pPr>
        <w:pStyle w:val="Heading2"/>
        <w:spacing w:after="200" w:before="280"/>
      </w:pPr>
      <w:r>
        <w:rPr>
          <w:rFonts w:ascii="Georgia" w:cs="Georgia" w:eastAsia="Georgia" w:hAnsi="Georgia"/>
          <w:b/>
          <w:bCs/>
          <w:color w:val="1a1a1a"/>
          <w:sz w:val="30"/>
          <w:szCs w:val="30"/>
        </w:rPr>
        <w:t xml:space="preserve">13.2 — Union Decline</w:t>
      </w:r>
    </w:p>
    <w:p>
      <w:pPr>
        <w:spacing w:after="200" w:before="0" w:line="312"/>
        <w:jc w:val="both"/>
      </w:pPr>
      <w:r>
        <w:rPr>
          <w:rFonts w:ascii="Georgia" w:cs="Georgia" w:eastAsia="Georgia" w:hAnsi="Georgia"/>
          <w:color w:val="3a3a3a"/>
          <w:sz w:val="24"/>
          <w:szCs w:val="24"/>
        </w:rPr>
        <w:t xml:space="preserve">Reagan fired 11,345 striking air traffic controllers (PATCO) on August 5, 1981. The signal to private employers was unmistakable: the federal government would not protect organized labor. Union membership fell from 20.1% of the workforce in 1983 (the first year BLS tracked the modern series) to 16.1% by 1990. By 2024, it was 10.0%.</w:t>
      </w:r>
    </w:p>
    <w:p>
      <w:pPr>
        <w:spacing w:after="200" w:before="0" w:line="312"/>
        <w:jc w:val="both"/>
      </w:pPr>
      <w:r>
        <w:rPr>
          <w:rFonts w:ascii="Georgia" w:cs="Georgia" w:eastAsia="Georgia" w:hAnsi="Georgia"/>
          <w:color w:val="3a3a3a"/>
          <w:sz w:val="24"/>
          <w:szCs w:val="24"/>
        </w:rPr>
        <w:t xml:space="preserve">Union decline has a direct racial wage effect. The union wage premium — the difference between union and non-union wages for comparable work — is larger for Black workers (approximately 18–20%) than for white workers (approximately 12–14%), because unions compress the wage distribution. As unions declined, the wage floor dropped, and it dropped more for the workers who were already at the bottom.</w:t>
      </w:r>
    </w:p>
    <w:p>
      <w:pPr>
        <w:pStyle w:val="Heading2"/>
        <w:spacing w:after="200" w:before="280"/>
      </w:pPr>
      <w:r>
        <w:rPr>
          <w:rFonts w:ascii="Georgia" w:cs="Georgia" w:eastAsia="Georgia" w:hAnsi="Georgia"/>
          <w:b/>
          <w:bCs/>
          <w:color w:val="1a1a1a"/>
          <w:sz w:val="30"/>
          <w:szCs w:val="30"/>
        </w:rPr>
        <w:t xml:space="preserve">13.3 — The Income Gap Under Reagan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1800"/>
        <w:gridCol w:w="1660"/>
      </w:tblGrid>
      <w:tr>
        <w:tc>
          <w:tcPr>
            <w:tcW w:type="dxa" w:w="150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220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White Median HH</w:t>
            </w:r>
          </w:p>
        </w:tc>
        <w:tc>
          <w:tcPr>
            <w:tcW w:type="dxa" w:w="220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Black Median HH</w:t>
            </w:r>
          </w:p>
        </w:tc>
        <w:tc>
          <w:tcPr>
            <w:tcW w:type="dxa" w:w="180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Ratio</w:t>
            </w:r>
          </w:p>
        </w:tc>
        <w:tc>
          <w:tcPr>
            <w:tcW w:type="dxa" w:w="166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W/M Ratio</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3a3a3a"/>
                <w:sz w:val="20"/>
                <w:szCs w:val="20"/>
              </w:rPr>
              <w:t xml:space="preserve">1980</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$21,904</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$12,674</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58%</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60%</w:t>
            </w:r>
          </w:p>
        </w:tc>
      </w:tr>
      <w:tr>
        <w:tc>
          <w:tcPr>
            <w:tcW w:type="dxa" w:w="1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color w:val="3a3a3a"/>
                <w:sz w:val="20"/>
                <w:szCs w:val="20"/>
              </w:rPr>
              <w:t xml:space="preserve">1984</w:t>
            </w:r>
          </w:p>
        </w:tc>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$24,686</w:t>
            </w:r>
          </w:p>
        </w:tc>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$14,506</w:t>
            </w:r>
          </w:p>
        </w:tc>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59%</w:t>
            </w:r>
          </w:p>
        </w:tc>
        <w:tc>
          <w:tcPr>
            <w:tcW w:type="dxa" w:w="16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64%</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3a3a3a"/>
                <w:sz w:val="20"/>
                <w:szCs w:val="20"/>
              </w:rPr>
              <w:t xml:space="preserve">1989</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$30,406</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$18,083</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59%</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68%</w:t>
            </w:r>
          </w:p>
        </w:tc>
      </w:tr>
    </w:tbl>
    <w:p>
      <w:pPr>
        <w:spacing w:after="0" w:before="200"/>
      </w:pPr>
    </w:p>
    <w:p>
      <w:pPr>
        <w:spacing w:after="200" w:before="0" w:line="312"/>
        <w:jc w:val="both"/>
      </w:pPr>
      <w:r>
        <w:rPr>
          <w:rFonts w:ascii="Georgia" w:cs="Georgia" w:eastAsia="Georgia" w:hAnsi="Georgia"/>
          <w:color w:val="3a3a3a"/>
          <w:sz w:val="24"/>
          <w:szCs w:val="24"/>
        </w:rPr>
        <w:t xml:space="preserve">Source: Census Bureau, Current Population Survey. Nominal dollars. The racial income ratio was flat at 58–59% through the entire Reagan era. The gender ratio improved from 60% to 68% — but this was driven primarily by women entering the workforce in larger numbers (the feminization of the labor force), not by men and women being paid equally for the same work.</w:t>
      </w:r>
    </w:p>
    <w:p>
      <w:r>
        <w:br w:type="page"/>
      </w:r>
    </w:p>
    <w:p>
      <w:pPr>
        <w:pStyle w:val="Heading1"/>
        <w:spacing w:after="240" w:before="360"/>
      </w:pPr>
      <w:r>
        <w:rPr>
          <w:rFonts w:ascii="Georgia" w:cs="Georgia" w:eastAsia="Georgia" w:hAnsi="Georgia"/>
          <w:b/>
          <w:bCs/>
          <w:color w:val="1a1a1a"/>
          <w:sz w:val="36"/>
          <w:szCs w:val="36"/>
        </w:rPr>
        <w:t xml:space="preserve">Chapter 14: The War on Drugs as Economic Warfare (1971–1990)</w:t>
      </w:r>
    </w:p>
    <w:p>
      <w:pPr>
        <w:pBdr>
          <w:bottom w:val="single" w:color="5b2c20" w:sz="4" w:space="1"/>
        </w:pBdr>
        <w:spacing w:after="200" w:before="200"/>
      </w:pPr>
    </w:p>
    <w:p>
      <w:pPr>
        <w:spacing w:after="200" w:before="0" w:line="312"/>
        <w:jc w:val="both"/>
      </w:pPr>
      <w:r>
        <w:rPr>
          <w:rFonts w:ascii="Georgia" w:cs="Georgia" w:eastAsia="Georgia" w:hAnsi="Georgia"/>
          <w:color w:val="3a3a3a"/>
          <w:sz w:val="24"/>
          <w:szCs w:val="24"/>
        </w:rPr>
        <w:t xml:space="preserve">Nixon declared drugs “public enemy number one” in 1971. Reagan escalated in 1982 with the formation of federal drug task forces, mandatory minimum sentencing, and the Anti-Drug Abuse Act of 1986 (which established the 100:1 crack/powder cocaine sentencing disparity). The policy was race-neutral on paper.</w:t>
      </w:r>
    </w:p>
    <w:p>
      <w:pPr>
        <w:pStyle w:val="Heading2"/>
        <w:spacing w:after="200" w:before="280"/>
      </w:pPr>
      <w:r>
        <w:rPr>
          <w:rFonts w:ascii="Georgia" w:cs="Georgia" w:eastAsia="Georgia" w:hAnsi="Georgia"/>
          <w:b/>
          <w:bCs/>
          <w:color w:val="1a1a1a"/>
          <w:sz w:val="30"/>
          <w:szCs w:val="30"/>
        </w:rPr>
        <w:t xml:space="preserve">14.1 — The Sentencing Disparity</w:t>
      </w:r>
    </w:p>
    <w:p>
      <w:pPr>
        <w:spacing w:after="200" w:before="0" w:line="312"/>
        <w:jc w:val="both"/>
      </w:pPr>
      <w:r>
        <w:rPr>
          <w:rFonts w:ascii="Georgia" w:cs="Georgia" w:eastAsia="Georgia" w:hAnsi="Georgia"/>
          <w:color w:val="3a3a3a"/>
          <w:sz w:val="24"/>
          <w:szCs w:val="24"/>
        </w:rPr>
        <w:t xml:space="preserve">Under the 1986 law, possession of 5 grams of crack cocaine triggered a mandatory five-year federal sentence. Possession of powder cocaine required 500 grams for the same sentence. Crack and powder cocaine are pharmacologically identical — crack is powder cocaine processed with baking soda. The difference is the user demographic: crack was concentrated in Black urban communities; powder cocaine in white suburban and professional communities.</w:t>
      </w:r>
    </w:p>
    <w:p>
      <w:pPr>
        <w:spacing w:after="200" w:before="0" w:line="312"/>
        <w:jc w:val="both"/>
      </w:pPr>
      <w:r>
        <w:rPr>
          <w:rFonts w:ascii="Georgia" w:cs="Georgia" w:eastAsia="Georgia" w:hAnsi="Georgia"/>
          <w:color w:val="3a3a3a"/>
          <w:sz w:val="24"/>
          <w:szCs w:val="24"/>
        </w:rPr>
        <w:t xml:space="preserve">The result was predictable and documented. In 1986, Black Americans constituted 12% of the U.S. population, approximately 13% of drug users (National Household Survey on Drug Abuse), and 74% of those sentenced for drug possession. The sentencing disparity was not corrected until the Fair Sentencing Act of 2010, which reduced the ratio from 100:1 to 18:1. It was not fully eliminated.</w:t>
      </w:r>
    </w:p>
    <w:p>
      <w:pPr>
        <w:pStyle w:val="Heading2"/>
        <w:spacing w:after="200" w:before="280"/>
      </w:pPr>
      <w:r>
        <w:rPr>
          <w:rFonts w:ascii="Georgia" w:cs="Georgia" w:eastAsia="Georgia" w:hAnsi="Georgia"/>
          <w:b/>
          <w:bCs/>
          <w:color w:val="1a1a1a"/>
          <w:sz w:val="30"/>
          <w:szCs w:val="30"/>
        </w:rPr>
        <w:t xml:space="preserve">14.2 — The Economic Effect of Incarceration</w:t>
      </w:r>
    </w:p>
    <w:p>
      <w:pPr>
        <w:spacing w:after="200" w:before="0" w:line="312"/>
        <w:jc w:val="both"/>
      </w:pPr>
      <w:r>
        <w:rPr>
          <w:rFonts w:ascii="Georgia" w:cs="Georgia" w:eastAsia="Georgia" w:hAnsi="Georgia"/>
          <w:color w:val="3a3a3a"/>
          <w:sz w:val="24"/>
          <w:szCs w:val="24"/>
        </w:rPr>
        <w:t xml:space="preserve">A felony conviction reduces lifetime earnings by an estimated 40% (Pew Charitable Trusts, 2010). A prison term removes the individual from the labor force entirely during incarceration and creates barriers to employment, housing, and credit after release. The economic damage extends beyond the individual: children of incarcerated parents show lower educational attainment and lower lifetime earnings (National Institute of Justice, 2015).</w:t>
      </w:r>
    </w:p>
    <w:p>
      <w:pPr>
        <w:spacing w:after="200" w:before="0" w:line="312"/>
        <w:jc w:val="both"/>
      </w:pPr>
      <w:r>
        <w:rPr>
          <w:rFonts w:ascii="Georgia" w:cs="Georgia" w:eastAsia="Georgia" w:hAnsi="Georgia"/>
          <w:color w:val="3a3a3a"/>
          <w:sz w:val="24"/>
          <w:szCs w:val="24"/>
        </w:rPr>
        <w:t xml:space="preserve">Between 1980 and 2000, the incarcerated population in the United States grew from approximately 500,000 to over 2 million. The rate of Black male incarceration reached 3,457 per 100,000 by 2001 (compared to 449 per 100,000 for white males). At any given time during this period, approximately one in three Black men aged 20–29 was under some form of criminal justice supervision (prison, jail, probation, or parole).</w:t>
      </w:r>
    </w:p>
    <w:p>
      <w:pPr>
        <w:spacing w:after="200" w:before="0" w:line="312"/>
        <w:jc w:val="both"/>
      </w:pPr>
      <w:r>
        <w:rPr>
          <w:rFonts w:ascii="Georgia" w:cs="Georgia" w:eastAsia="Georgia" w:hAnsi="Georgia"/>
          <w:color w:val="3a3a3a"/>
          <w:sz w:val="24"/>
          <w:szCs w:val="24"/>
        </w:rPr>
        <w:t xml:space="preserve">The wage gap is not just about what employers pay. It is about who is available to be paid. Mass incarceration removed millions of working-age Black men from the labor force, depressed wages for those who remained (increased labor supply in low-skill sectors after release drives down wages for everyone in those sectors), and destroyed wealth-building capacity for affected families across generations.</w:t>
      </w:r>
    </w:p>
    <w:p>
      <w:pPr>
        <w:pStyle w:val="Heading2"/>
        <w:spacing w:after="200" w:before="280"/>
      </w:pPr>
      <w:r>
        <w:rPr>
          <w:rFonts w:ascii="Georgia" w:cs="Georgia" w:eastAsia="Georgia" w:hAnsi="Georgia"/>
          <w:b/>
          <w:bCs/>
          <w:color w:val="1a1a1a"/>
          <w:sz w:val="30"/>
          <w:szCs w:val="30"/>
        </w:rPr>
        <w:t xml:space="preserve">14.3 — John Ehrlichman’s Admission</w:t>
      </w:r>
    </w:p>
    <w:p>
      <w:pPr>
        <w:spacing w:after="200" w:before="0" w:line="312"/>
        <w:jc w:val="both"/>
      </w:pPr>
      <w:r>
        <w:rPr>
          <w:rFonts w:ascii="Georgia" w:cs="Georgia" w:eastAsia="Georgia" w:hAnsi="Georgia"/>
          <w:color w:val="3a3a3a"/>
          <w:sz w:val="24"/>
          <w:szCs w:val="24"/>
        </w:rPr>
        <w:t xml:space="preserve">In a 1994 interview published in 2016 by Harper’s Magazine, John Ehrlichman — Nixon’s domestic policy chief — stated:</w:t>
      </w:r>
    </w:p>
    <w:p>
      <w:pPr>
        <w:spacing w:after="200" w:before="200"/>
        <w:ind w:left="720" w:right="720"/>
      </w:pPr>
      <w:r>
        <w:rPr>
          <w:rFonts w:ascii="Georgia" w:cs="Georgia" w:eastAsia="Georgia" w:hAnsi="Georgia"/>
          <w:i/>
          <w:iCs/>
          <w:color w:val="5b2c20"/>
          <w:sz w:val="24"/>
          <w:szCs w:val="24"/>
        </w:rPr>
        <w:t xml:space="preserve">The Nixon campaign in 1968, and the Nixon White House after that, had two enemies: the antiwar left and black people. You understand what I’m saying? We knew we couldn’t make it illegal to be either against the war or black, but by getting the public to associate the hippies with marijuana and blacks with heroin, and then criminalizing both heavily, we could disrupt those communities.</w:t>
      </w:r>
    </w:p>
    <w:p>
      <w:pPr>
        <w:spacing w:after="200" w:before="0" w:line="312"/>
        <w:jc w:val="both"/>
      </w:pPr>
      <w:r>
        <w:rPr>
          <w:rFonts w:ascii="Georgia" w:cs="Georgia" w:eastAsia="Georgia" w:hAnsi="Georgia"/>
          <w:color w:val="3a3a3a"/>
          <w:sz w:val="24"/>
          <w:szCs w:val="24"/>
        </w:rPr>
        <w:t xml:space="preserve">This is not conspiracy theory. This is a direct statement from the person who designed the policy, explaining its racial intent. The War on Drugs was economic warfare against Black communities. The architect said so.</w:t>
      </w:r>
    </w:p>
    <w:p>
      <w:r>
        <w:br w:type="page"/>
      </w:r>
    </w:p>
    <w:p>
      <w:pPr>
        <w:spacing w:after="0" w:before="2000"/>
      </w:pPr>
    </w:p>
    <w:p>
      <w:pPr>
        <w:spacing w:after="100" w:before="0" w:line="312"/>
        <w:jc w:val="center"/>
      </w:pPr>
      <w:r>
        <w:rPr>
          <w:rFonts w:ascii="Arial" w:cs="Arial" w:eastAsia="Arial" w:hAnsi="Arial"/>
          <w:b/>
          <w:bCs/>
          <w:color w:val="1a1a1a"/>
          <w:sz w:val="40"/>
          <w:szCs w:val="40"/>
        </w:rPr>
        <w:t xml:space="preserve">PART IV</w:t>
      </w:r>
    </w:p>
    <w:p>
      <w:pPr>
        <w:pBdr>
          <w:bottom w:val="single" w:color="5b2c20" w:sz="4" w:space="1"/>
        </w:pBdr>
        <w:spacing w:after="200" w:before="200"/>
      </w:pPr>
    </w:p>
    <w:p>
      <w:pPr>
        <w:spacing w:after="200" w:before="0" w:line="312"/>
        <w:jc w:val="center"/>
      </w:pPr>
      <w:r>
        <w:rPr>
          <w:rFonts w:ascii="Georgia" w:cs="Georgia" w:eastAsia="Georgia" w:hAnsi="Georgia"/>
          <w:color w:val="5b2c20"/>
          <w:sz w:val="32"/>
          <w:szCs w:val="32"/>
        </w:rPr>
        <w:t xml:space="preserve">THE ACCELERATION (1990–2008)</w:t>
      </w:r>
    </w:p>
    <w:p>
      <w:pPr>
        <w:spacing w:after="0" w:before="400"/>
      </w:pPr>
    </w:p>
    <w:p>
      <w:pPr>
        <w:spacing w:after="200" w:before="200"/>
        <w:ind w:left="720" w:right="720"/>
      </w:pPr>
      <w:r>
        <w:rPr>
          <w:rFonts w:ascii="Georgia" w:cs="Georgia" w:eastAsia="Georgia" w:hAnsi="Georgia"/>
          <w:i/>
          <w:iCs/>
          <w:color w:val="5b2c20"/>
          <w:sz w:val="24"/>
          <w:szCs w:val="24"/>
        </w:rPr>
        <w:t xml:space="preserve">The gap did not just persist. It found new mechanisms. The architecture evolved. The outcome was the same.</w:t>
      </w:r>
    </w:p>
    <w:p>
      <w:r>
        <w:br w:type="page"/>
      </w:r>
    </w:p>
    <w:p>
      <w:pPr>
        <w:pStyle w:val="Heading1"/>
        <w:spacing w:after="240" w:before="360"/>
      </w:pPr>
      <w:r>
        <w:rPr>
          <w:rFonts w:ascii="Georgia" w:cs="Georgia" w:eastAsia="Georgia" w:hAnsi="Georgia"/>
          <w:b/>
          <w:bCs/>
          <w:color w:val="1a1a1a"/>
          <w:sz w:val="36"/>
          <w:szCs w:val="36"/>
        </w:rPr>
        <w:t xml:space="preserve">Chapter 15: NAFTA, Welfare Reform, and the New Economy (1993–1996)</w:t>
      </w:r>
    </w:p>
    <w:p>
      <w:pPr>
        <w:pBdr>
          <w:bottom w:val="single" w:color="5b2c20" w:sz="4" w:space="1"/>
        </w:pBdr>
        <w:spacing w:after="200" w:before="200"/>
      </w:pPr>
    </w:p>
    <w:p>
      <w:pPr>
        <w:spacing w:after="200" w:before="0" w:line="312"/>
        <w:jc w:val="both"/>
      </w:pPr>
      <w:r>
        <w:rPr>
          <w:rFonts w:ascii="Georgia" w:cs="Georgia" w:eastAsia="Georgia" w:hAnsi="Georgia"/>
          <w:color w:val="3a3a3a"/>
          <w:sz w:val="24"/>
          <w:szCs w:val="24"/>
        </w:rPr>
        <w:t xml:space="preserve">The 1990s brought three structural changes that reshaped the wage gap: trade liberalization, welfare reform, and the transition to a service/knowledge economy.</w:t>
      </w:r>
    </w:p>
    <w:p>
      <w:pPr>
        <w:pStyle w:val="Heading2"/>
        <w:spacing w:after="200" w:before="280"/>
      </w:pPr>
      <w:r>
        <w:rPr>
          <w:rFonts w:ascii="Georgia" w:cs="Georgia" w:eastAsia="Georgia" w:hAnsi="Georgia"/>
          <w:b/>
          <w:bCs/>
          <w:color w:val="1a1a1a"/>
          <w:sz w:val="30"/>
          <w:szCs w:val="30"/>
        </w:rPr>
        <w:t xml:space="preserve">15.1 — NAFTA (1994)</w:t>
      </w:r>
    </w:p>
    <w:p>
      <w:pPr>
        <w:spacing w:after="200" w:before="0" w:line="312"/>
        <w:jc w:val="both"/>
      </w:pPr>
      <w:r>
        <w:rPr>
          <w:rFonts w:ascii="Georgia" w:cs="Georgia" w:eastAsia="Georgia" w:hAnsi="Georgia"/>
          <w:color w:val="3a3a3a"/>
          <w:sz w:val="24"/>
          <w:szCs w:val="24"/>
        </w:rPr>
        <w:t xml:space="preserve">The North American Free Trade Agreement eliminated tariffs between the US, Canada, and Mexico. Manufacturing jobs moved to lower-wage Mexican facilities. The Economic Policy Institute estimated that NAFTA displaced approximately 680,000 U.S. jobs by 2010, disproportionately in manufacturing sectors where Black workers had made significant gains since World War II.</w:t>
      </w:r>
    </w:p>
    <w:p>
      <w:pPr>
        <w:spacing w:after="200" w:before="0" w:line="312"/>
        <w:jc w:val="both"/>
      </w:pPr>
      <w:r>
        <w:rPr>
          <w:rFonts w:ascii="Georgia" w:cs="Georgia" w:eastAsia="Georgia" w:hAnsi="Georgia"/>
          <w:color w:val="3a3a3a"/>
          <w:sz w:val="24"/>
          <w:szCs w:val="24"/>
        </w:rPr>
        <w:t xml:space="preserve">The Black manufacturing employment share fell from 23% in 1979 to 10% by 2007. The loss was not simply jobs — it was the specific type of job that had historically provided the best wages for Black workers without college degrees: unionized manufacturing with benefits, pensions, and career ladders. The jobs that replaced them — retail, food service, warehouse work — paid less, offered fewer benefits, and had no pension.</w:t>
      </w:r>
    </w:p>
    <w:p>
      <w:pPr>
        <w:pStyle w:val="Heading2"/>
        <w:spacing w:after="200" w:before="280"/>
      </w:pPr>
      <w:r>
        <w:rPr>
          <w:rFonts w:ascii="Georgia" w:cs="Georgia" w:eastAsia="Georgia" w:hAnsi="Georgia"/>
          <w:b/>
          <w:bCs/>
          <w:color w:val="1a1a1a"/>
          <w:sz w:val="30"/>
          <w:szCs w:val="30"/>
        </w:rPr>
        <w:t xml:space="preserve">15.2 — Welfare Reform (1996)</w:t>
      </w:r>
    </w:p>
    <w:p>
      <w:pPr>
        <w:spacing w:after="200" w:before="0" w:line="312"/>
        <w:jc w:val="both"/>
      </w:pPr>
      <w:r>
        <w:rPr>
          <w:rFonts w:ascii="Georgia" w:cs="Georgia" w:eastAsia="Georgia" w:hAnsi="Georgia"/>
          <w:color w:val="3a3a3a"/>
          <w:sz w:val="24"/>
          <w:szCs w:val="24"/>
        </w:rPr>
        <w:t xml:space="preserve">The Personal Responsibility and Work Opportunity Reconciliation Act of 1996 replaced Aid to Families with Dependent Children (AFDC) with Temporary Assistance for Needy Families (TANF). The law imposed lifetime limits on benefits (60 months), work requirements, and block grants to states that allowed wide variation in implementation.</w:t>
      </w:r>
    </w:p>
    <w:p>
      <w:pPr>
        <w:spacing w:after="200" w:before="0" w:line="312"/>
        <w:jc w:val="both"/>
      </w:pPr>
      <w:r>
        <w:rPr>
          <w:rFonts w:ascii="Georgia" w:cs="Georgia" w:eastAsia="Georgia" w:hAnsi="Georgia"/>
          <w:color w:val="3a3a3a"/>
          <w:sz w:val="24"/>
          <w:szCs w:val="24"/>
        </w:rPr>
        <w:t xml:space="preserve">Black families represented 37% of AFDC recipients in 1996. The work requirements pushed recipients into the labor market — but into the lowest-wage sectors with no subsidized childcare, transportation, or training. The poverty rate for Black children fell from 41.5% in 1995 to 30.2% in 2001 (driven by the late-1990s economic boom, not by welfare reform’s structure), but rose again to 38.2% during the 2008 recession, demonstrating that welfare reform had eliminated the safety net without building a floor.</w:t>
      </w:r>
    </w:p>
    <w:p>
      <w:pPr>
        <w:pStyle w:val="Heading2"/>
        <w:spacing w:after="200" w:before="280"/>
      </w:pPr>
      <w:r>
        <w:rPr>
          <w:rFonts w:ascii="Georgia" w:cs="Georgia" w:eastAsia="Georgia" w:hAnsi="Georgia"/>
          <w:b/>
          <w:bCs/>
          <w:color w:val="1a1a1a"/>
          <w:sz w:val="30"/>
          <w:szCs w:val="30"/>
        </w:rPr>
        <w:t xml:space="preserve">15.3 — The New Economy</w:t>
      </w:r>
    </w:p>
    <w:p>
      <w:pPr>
        <w:spacing w:after="200" w:before="0" w:line="312"/>
        <w:jc w:val="both"/>
      </w:pPr>
      <w:r>
        <w:rPr>
          <w:rFonts w:ascii="Georgia" w:cs="Georgia" w:eastAsia="Georgia" w:hAnsi="Georgia"/>
          <w:color w:val="3a3a3a"/>
          <w:sz w:val="24"/>
          <w:szCs w:val="24"/>
        </w:rPr>
        <w:t xml:space="preserve">The technology boom of the late 1990s created enormous wealth — concentrated in sectors and geographies where Black workers were underrepresented. The technology workforce was (and remains) approximately 7–8% Black compared to 13% of the general population. The wealth created by the dotcom era flowed disproportionately to white workers, white-dominated regions (San Francisco, Seattle, Austin), and white-owned companies.</w:t>
      </w:r>
    </w:p>
    <w:p>
      <w:pPr>
        <w:spacing w:after="200" w:before="0" w:line="312"/>
        <w:jc w:val="both"/>
      </w:pPr>
      <w:r>
        <w:rPr>
          <w:rFonts w:ascii="Georgia" w:cs="Georgia" w:eastAsia="Georgia" w:hAnsi="Georgia"/>
          <w:color w:val="3a3a3a"/>
          <w:sz w:val="24"/>
          <w:szCs w:val="24"/>
        </w:rPr>
        <w:t xml:space="preserve">The late 1990s showed the fastest wage growth for all groups since the 1960s. The racial income ratio reached 65% by 2000 — the highest in American history. But the technology sector’s wealth creation was so concentrated in white-dominated sectors that the wealth gap actually widened during the same period that the income gap narrowed.</w:t>
      </w:r>
    </w:p>
    <w:p>
      <w:r>
        <w:br w:type="page"/>
      </w:r>
    </w:p>
    <w:p>
      <w:pPr>
        <w:pStyle w:val="Heading1"/>
        <w:spacing w:after="240" w:before="360"/>
      </w:pPr>
      <w:r>
        <w:rPr>
          <w:rFonts w:ascii="Georgia" w:cs="Georgia" w:eastAsia="Georgia" w:hAnsi="Georgia"/>
          <w:b/>
          <w:bCs/>
          <w:color w:val="1a1a1a"/>
          <w:sz w:val="36"/>
          <w:szCs w:val="36"/>
        </w:rPr>
        <w:t xml:space="preserve">Chapter 16: Mass Incarceration as Wage Suppression (1990–2008)</w:t>
      </w:r>
    </w:p>
    <w:p>
      <w:pPr>
        <w:pBdr>
          <w:bottom w:val="single" w:color="5b2c20" w:sz="4" w:space="1"/>
        </w:pBdr>
        <w:spacing w:after="200" w:before="200"/>
      </w:pPr>
    </w:p>
    <w:p>
      <w:pPr>
        <w:spacing w:after="200" w:before="0" w:line="312"/>
        <w:jc w:val="both"/>
      </w:pPr>
      <w:r>
        <w:rPr>
          <w:rFonts w:ascii="Georgia" w:cs="Georgia" w:eastAsia="Georgia" w:hAnsi="Georgia"/>
          <w:color w:val="3a3a3a"/>
          <w:sz w:val="24"/>
          <w:szCs w:val="24"/>
        </w:rPr>
        <w:t xml:space="preserve">The incarcerated population in the United States reached its peak of 2.3 million in 2008. The United States, with 4.2% of the world’s population, held 22% of the world’s prisoners. The racial composition of this population tells the wage gap story:</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Group</w:t>
            </w:r>
          </w:p>
        </w:tc>
        <w:tc>
          <w:tcPr>
            <w:tcW w:type="dxa" w:w="220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 of US Population</w:t>
            </w:r>
          </w:p>
        </w:tc>
        <w:tc>
          <w:tcPr>
            <w:tcW w:type="dxa" w:w="220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 of Prison Pop.</w:t>
            </w:r>
          </w:p>
        </w:tc>
        <w:tc>
          <w:tcPr>
            <w:tcW w:type="dxa" w:w="246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Incarceration Rate</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3a3a3a"/>
                <w:sz w:val="20"/>
                <w:szCs w:val="20"/>
              </w:rPr>
              <w:t xml:space="preserve">White</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63%</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33%</w:t>
            </w:r>
          </w:p>
        </w:tc>
        <w:tc>
          <w:tcPr>
            <w:tcW w:type="dxa" w:w="24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412 per 100K</w:t>
            </w:r>
          </w:p>
        </w:tc>
      </w:tr>
      <w:tr>
        <w:tc>
          <w:tcPr>
            <w:tcW w:type="dxa" w:w="2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color w:val="3a3a3a"/>
                <w:sz w:val="20"/>
                <w:szCs w:val="20"/>
              </w:rPr>
              <w:t xml:space="preserve">Black</w:t>
            </w:r>
          </w:p>
        </w:tc>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13%</w:t>
            </w:r>
          </w:p>
        </w:tc>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5b2c20"/>
                <w:sz w:val="20"/>
                <w:szCs w:val="20"/>
              </w:rPr>
              <w:t xml:space="preserve">38%</w:t>
            </w:r>
          </w:p>
        </w:tc>
        <w:tc>
          <w:tcPr>
            <w:tcW w:type="dxa" w:w="24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5b2c20"/>
                <w:sz w:val="20"/>
                <w:szCs w:val="20"/>
              </w:rPr>
              <w:t xml:space="preserve">2,306 per 100K</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3a3a3a"/>
                <w:sz w:val="20"/>
                <w:szCs w:val="20"/>
              </w:rPr>
              <w:t xml:space="preserve">Hispanic</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19%</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21%</w:t>
            </w:r>
          </w:p>
        </w:tc>
        <w:tc>
          <w:tcPr>
            <w:tcW w:type="dxa" w:w="24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831 per 100K</w:t>
            </w:r>
          </w:p>
        </w:tc>
      </w:tr>
    </w:tbl>
    <w:p>
      <w:pPr>
        <w:spacing w:after="0" w:before="200"/>
      </w:pPr>
    </w:p>
    <w:p>
      <w:pPr>
        <w:spacing w:after="200" w:before="0" w:line="312"/>
        <w:jc w:val="both"/>
      </w:pPr>
      <w:r>
        <w:rPr>
          <w:rFonts w:ascii="Georgia" w:cs="Georgia" w:eastAsia="Georgia" w:hAnsi="Georgia"/>
          <w:color w:val="3a3a3a"/>
          <w:sz w:val="24"/>
          <w:szCs w:val="24"/>
        </w:rPr>
        <w:t xml:space="preserve">Source: Bureau of Justice Statistics, Prisoners in 2008. The Black incarceration rate was 5.6 times the white rate.</w:t>
      </w:r>
    </w:p>
    <w:p>
      <w:pPr>
        <w:spacing w:after="200" w:before="0" w:line="312"/>
        <w:jc w:val="both"/>
      </w:pPr>
      <w:r>
        <w:rPr>
          <w:rFonts w:ascii="Georgia" w:cs="Georgia" w:eastAsia="Georgia" w:hAnsi="Georgia"/>
          <w:color w:val="3a3a3a"/>
          <w:sz w:val="24"/>
          <w:szCs w:val="24"/>
        </w:rPr>
        <w:t xml:space="preserve">The wage suppression effect of mass incarceration operates through five channels:</w:t>
      </w:r>
    </w:p>
    <w:p>
      <w:pPr>
        <w:spacing w:after="80" w:before="0" w:line="312"/>
        <w:jc w:val="both"/>
      </w:pPr>
      <w:r>
        <w:rPr>
          <w:rFonts w:ascii="Georgia" w:cs="Georgia" w:eastAsia="Georgia" w:hAnsi="Georgia"/>
          <w:b/>
          <w:bCs/>
          <w:color w:val="3a3a3a"/>
          <w:sz w:val="24"/>
          <w:szCs w:val="24"/>
        </w:rPr>
        <w:t xml:space="preserve">1. Direct removal: </w:t>
      </w:r>
      <w:r>
        <w:rPr>
          <w:rFonts w:ascii="Georgia" w:cs="Georgia" w:eastAsia="Georgia" w:hAnsi="Georgia"/>
          <w:color w:val="3a3a3a"/>
          <w:sz w:val="24"/>
          <w:szCs w:val="24"/>
        </w:rPr>
        <w:t xml:space="preserve">2.3 million people removed from the labor force. Disproportionately Black men of prime working age (25–45).</w:t>
      </w:r>
    </w:p>
    <w:p>
      <w:pPr>
        <w:spacing w:after="80" w:before="0" w:line="312"/>
        <w:jc w:val="both"/>
      </w:pPr>
      <w:r>
        <w:rPr>
          <w:rFonts w:ascii="Georgia" w:cs="Georgia" w:eastAsia="Georgia" w:hAnsi="Georgia"/>
          <w:b/>
          <w:bCs/>
          <w:color w:val="3a3a3a"/>
          <w:sz w:val="24"/>
          <w:szCs w:val="24"/>
        </w:rPr>
        <w:t xml:space="preserve">2. Post-release penalty: </w:t>
      </w:r>
      <w:r>
        <w:rPr>
          <w:rFonts w:ascii="Georgia" w:cs="Georgia" w:eastAsia="Georgia" w:hAnsi="Georgia"/>
          <w:color w:val="3a3a3a"/>
          <w:sz w:val="24"/>
          <w:szCs w:val="24"/>
        </w:rPr>
        <w:t xml:space="preserve">40% lifetime earnings reduction. Felony “ban the box” barriers to employment.</w:t>
      </w:r>
    </w:p>
    <w:p>
      <w:pPr>
        <w:spacing w:after="80" w:before="0" w:line="312"/>
        <w:jc w:val="both"/>
      </w:pPr>
      <w:r>
        <w:rPr>
          <w:rFonts w:ascii="Georgia" w:cs="Georgia" w:eastAsia="Georgia" w:hAnsi="Georgia"/>
          <w:b/>
          <w:bCs/>
          <w:color w:val="3a3a3a"/>
          <w:sz w:val="24"/>
          <w:szCs w:val="24"/>
        </w:rPr>
        <w:t xml:space="preserve">3. Wage depression: </w:t>
      </w:r>
      <w:r>
        <w:rPr>
          <w:rFonts w:ascii="Georgia" w:cs="Georgia" w:eastAsia="Georgia" w:hAnsi="Georgia"/>
          <w:color w:val="3a3a3a"/>
          <w:sz w:val="24"/>
          <w:szCs w:val="24"/>
        </w:rPr>
        <w:t xml:space="preserve">Formerly incarcerated workers accept lower wages, depressing wages for all workers in affected sectors.</w:t>
      </w:r>
    </w:p>
    <w:p>
      <w:pPr>
        <w:spacing w:after="80" w:before="0" w:line="312"/>
        <w:jc w:val="both"/>
      </w:pPr>
      <w:r>
        <w:rPr>
          <w:rFonts w:ascii="Georgia" w:cs="Georgia" w:eastAsia="Georgia" w:hAnsi="Georgia"/>
          <w:b/>
          <w:bCs/>
          <w:color w:val="3a3a3a"/>
          <w:sz w:val="24"/>
          <w:szCs w:val="24"/>
        </w:rPr>
        <w:t xml:space="preserve">4. Family destabilization: </w:t>
      </w:r>
      <w:r>
        <w:rPr>
          <w:rFonts w:ascii="Georgia" w:cs="Georgia" w:eastAsia="Georgia" w:hAnsi="Georgia"/>
          <w:color w:val="3a3a3a"/>
          <w:sz w:val="24"/>
          <w:szCs w:val="24"/>
        </w:rPr>
        <w:t xml:space="preserve">Children of incarcerated parents show 25–30% lower lifetime earnings (NIJ, 2015).</w:t>
      </w:r>
    </w:p>
    <w:p>
      <w:pPr>
        <w:spacing w:after="200" w:before="0" w:line="312"/>
        <w:jc w:val="both"/>
      </w:pPr>
      <w:r>
        <w:rPr>
          <w:rFonts w:ascii="Georgia" w:cs="Georgia" w:eastAsia="Georgia" w:hAnsi="Georgia"/>
          <w:b/>
          <w:bCs/>
          <w:color w:val="3a3a3a"/>
          <w:sz w:val="24"/>
          <w:szCs w:val="24"/>
        </w:rPr>
        <w:t xml:space="preserve">5. Community disinvestment: </w:t>
      </w:r>
      <w:r>
        <w:rPr>
          <w:rFonts w:ascii="Georgia" w:cs="Georgia" w:eastAsia="Georgia" w:hAnsi="Georgia"/>
          <w:color w:val="3a3a3a"/>
          <w:sz w:val="24"/>
          <w:szCs w:val="24"/>
        </w:rPr>
        <w:t xml:space="preserve">High-incarceration neighborhoods experience reduced economic activity, fewer businesses, lower property values, and diminished tax base for public services.</w:t>
      </w:r>
    </w:p>
    <w:p>
      <w:pPr>
        <w:spacing w:after="200" w:before="0" w:line="312"/>
        <w:jc w:val="both"/>
      </w:pPr>
      <w:r>
        <w:rPr>
          <w:rFonts w:ascii="Georgia" w:cs="Georgia" w:eastAsia="Georgia" w:hAnsi="Georgia"/>
          <w:color w:val="3a3a3a"/>
          <w:sz w:val="24"/>
          <w:szCs w:val="24"/>
        </w:rPr>
        <w:t xml:space="preserve">The Brennan Center for Justice estimated the total economic cost of mass incarceration at $1.2 trillion annually, including lost wages, lost GDP, and criminal justice system costs. The Black community bears a disproportionate share of this cost.</w:t>
      </w:r>
    </w:p>
    <w:p>
      <w:r>
        <w:br w:type="page"/>
      </w:r>
    </w:p>
    <w:p>
      <w:pPr>
        <w:pStyle w:val="Heading1"/>
        <w:spacing w:after="240" w:before="360"/>
      </w:pPr>
      <w:r>
        <w:rPr>
          <w:rFonts w:ascii="Georgia" w:cs="Georgia" w:eastAsia="Georgia" w:hAnsi="Georgia"/>
          <w:b/>
          <w:bCs/>
          <w:color w:val="1a1a1a"/>
          <w:sz w:val="36"/>
          <w:szCs w:val="36"/>
        </w:rPr>
        <w:t xml:space="preserve">Chapter 17: Subprime — The Targeted Destruction of Black Wealth (2000–2008)</w:t>
      </w:r>
    </w:p>
    <w:p>
      <w:pPr>
        <w:pBdr>
          <w:bottom w:val="single" w:color="5b2c20" w:sz="4" w:space="1"/>
        </w:pBdr>
        <w:spacing w:after="200" w:before="200"/>
      </w:pPr>
    </w:p>
    <w:p>
      <w:pPr>
        <w:spacing w:after="200" w:before="0" w:line="312"/>
        <w:jc w:val="both"/>
      </w:pPr>
      <w:r>
        <w:rPr>
          <w:rFonts w:ascii="Georgia" w:cs="Georgia" w:eastAsia="Georgia" w:hAnsi="Georgia"/>
          <w:color w:val="3a3a3a"/>
          <w:sz w:val="24"/>
          <w:szCs w:val="24"/>
        </w:rPr>
        <w:t xml:space="preserve">The subprime mortgage crisis is typically narrated as a systemic failure of financial regulation. It was. It was also a targeted extraction of wealth from Black and Hispanic communities.</w:t>
      </w:r>
    </w:p>
    <w:p>
      <w:pPr>
        <w:pStyle w:val="Heading2"/>
        <w:spacing w:after="200" w:before="280"/>
      </w:pPr>
      <w:r>
        <w:rPr>
          <w:rFonts w:ascii="Georgia" w:cs="Georgia" w:eastAsia="Georgia" w:hAnsi="Georgia"/>
          <w:b/>
          <w:bCs/>
          <w:color w:val="1a1a1a"/>
          <w:sz w:val="30"/>
          <w:szCs w:val="30"/>
        </w:rPr>
        <w:t xml:space="preserve">17.1 — The Targeting</w:t>
      </w:r>
    </w:p>
    <w:p>
      <w:pPr>
        <w:spacing w:after="200" w:before="0" w:line="312"/>
        <w:jc w:val="both"/>
      </w:pPr>
      <w:r>
        <w:rPr>
          <w:rFonts w:ascii="Georgia" w:cs="Georgia" w:eastAsia="Georgia" w:hAnsi="Georgia"/>
          <w:color w:val="3a3a3a"/>
          <w:sz w:val="24"/>
          <w:szCs w:val="24"/>
        </w:rPr>
        <w:t xml:space="preserve">Subprime loans — mortgages with higher interest rates, adjustable rates, and prepayment penalties — were marketed disproportionately to Black and Hispanic borrowers. A 2006 study by the Center for Responsible Lending found that Black borrowers were 2.7 times more likely to receive a subprime loan than white borrowers with comparable credit profiles. Hispanic borrowers were 2.0 times more likely.</w:t>
      </w:r>
    </w:p>
    <w:p>
      <w:pPr>
        <w:spacing w:after="200" w:before="0" w:line="312"/>
        <w:jc w:val="both"/>
      </w:pPr>
      <w:r>
        <w:rPr>
          <w:rFonts w:ascii="Georgia" w:cs="Georgia" w:eastAsia="Georgia" w:hAnsi="Georgia"/>
          <w:color w:val="3a3a3a"/>
          <w:sz w:val="24"/>
          <w:szCs w:val="24"/>
        </w:rPr>
        <w:t xml:space="preserve">This was not driven by creditworthiness. Controlling for income, credit score, loan-to-value ratio, and property type, Black borrowers paid higher interest rates and received worse terms. The National Bureau of Economic Research documented this in a 2010 study: “The higher incidence of subprime lending in minority neighborhoods is not explained by borrower-specific risk factors.”</w:t>
      </w:r>
    </w:p>
    <w:p>
      <w:pPr>
        <w:spacing w:after="200" w:before="0" w:line="312"/>
        <w:jc w:val="both"/>
      </w:pPr>
      <w:r>
        <w:rPr>
          <w:rFonts w:ascii="Georgia" w:cs="Georgia" w:eastAsia="Georgia" w:hAnsi="Georgia"/>
          <w:color w:val="3a3a3a"/>
          <w:sz w:val="24"/>
          <w:szCs w:val="24"/>
        </w:rPr>
        <w:t xml:space="preserve">Wells Fargo loan officers, in a 2012 lawsuit settlement, described internal practices in which subprime loans marketed to Black communities were referred to as “ghetto loans.” The targeting was acknowledged, documented, and, for a time, extremely profitable.</w:t>
      </w:r>
    </w:p>
    <w:p>
      <w:pPr>
        <w:pStyle w:val="Heading2"/>
        <w:spacing w:after="200" w:before="280"/>
      </w:pPr>
      <w:r>
        <w:rPr>
          <w:rFonts w:ascii="Georgia" w:cs="Georgia" w:eastAsia="Georgia" w:hAnsi="Georgia"/>
          <w:b/>
          <w:bCs/>
          <w:color w:val="1a1a1a"/>
          <w:sz w:val="30"/>
          <w:szCs w:val="30"/>
        </w:rPr>
        <w:t xml:space="preserve">17.2 — The Devastation</w:t>
      </w:r>
    </w:p>
    <w:p>
      <w:pPr>
        <w:spacing w:after="200" w:before="0" w:line="312"/>
        <w:jc w:val="both"/>
      </w:pPr>
      <w:r>
        <w:rPr>
          <w:rFonts w:ascii="Georgia" w:cs="Georgia" w:eastAsia="Georgia" w:hAnsi="Georgia"/>
          <w:color w:val="3a3a3a"/>
          <w:sz w:val="24"/>
          <w:szCs w:val="24"/>
        </w:rPr>
        <w:t xml:space="preserve">When the housing bubble burst in 2007–2008, subprime borrowers were the first to lose their homes. Between 2005 and 2009, the foreclosure rate for Black homeowners was approximately 7.9%, compared to 4.5% for white homeowners (Center for Responsible Lending, 2010).</w:t>
      </w:r>
    </w:p>
    <w:p>
      <w:pPr>
        <w:spacing w:after="200" w:before="0" w:line="312"/>
        <w:jc w:val="both"/>
      </w:pPr>
      <w:r>
        <w:rPr>
          <w:rFonts w:ascii="Georgia" w:cs="Georgia" w:eastAsia="Georgia" w:hAnsi="Georgia"/>
          <w:color w:val="3a3a3a"/>
          <w:sz w:val="24"/>
          <w:szCs w:val="24"/>
        </w:rPr>
        <w:t xml:space="preserve">The wealth destruction was catastrophic. Median Black household wealth fell from $19,200 in 2007 to $5,677 in 2010 — a 70% decline. Median white household wealth fell from $192,500 to $113,149 — a 41% decline. The wealth ratio went from 10:1 to 20:1 in three years. Decades of painfully slow convergence were erased in a single economic event.</w:t>
      </w:r>
    </w:p>
    <w:p>
      <w:pPr>
        <w:pStyle w:val="Heading2"/>
        <w:spacing w:after="200" w:before="280"/>
      </w:pPr>
      <w:r>
        <w:rPr>
          <w:rFonts w:ascii="Georgia" w:cs="Georgia" w:eastAsia="Georgia" w:hAnsi="Georgia"/>
          <w:b/>
          <w:bCs/>
          <w:color w:val="1a1a1a"/>
          <w:sz w:val="30"/>
          <w:szCs w:val="30"/>
        </w:rPr>
        <w:t xml:space="preserve">17.3 — The Recovery That Wasn’t</w:t>
      </w:r>
    </w:p>
    <w:p>
      <w:pPr>
        <w:spacing w:after="200" w:before="0" w:line="312"/>
        <w:jc w:val="both"/>
      </w:pPr>
      <w:r>
        <w:rPr>
          <w:rFonts w:ascii="Georgia" w:cs="Georgia" w:eastAsia="Georgia" w:hAnsi="Georgia"/>
          <w:color w:val="3a3a3a"/>
          <w:sz w:val="24"/>
          <w:szCs w:val="24"/>
        </w:rPr>
        <w:t xml:space="preserve">White household wealth recovered to pre-crisis levels by approximately 2016. Black household wealth did not recover to pre-crisis levels until approximately 2022 — fifteen years after the crash. During those fifteen years, white households were accumulating new wealth on a recovered base while Black households were still rebuilding. The gap widened during the “recovery” because recovery arrived on different timelines for different communities.</w:t>
      </w:r>
    </w:p>
    <w:p>
      <w:r>
        <w:br w:type="page"/>
      </w:r>
    </w:p>
    <w:p>
      <w:pPr>
        <w:pStyle w:val="Heading1"/>
        <w:spacing w:after="240" w:before="360"/>
      </w:pPr>
      <w:r>
        <w:rPr>
          <w:rFonts w:ascii="Georgia" w:cs="Georgia" w:eastAsia="Georgia" w:hAnsi="Georgia"/>
          <w:b/>
          <w:bCs/>
          <w:color w:val="1a1a1a"/>
          <w:sz w:val="36"/>
          <w:szCs w:val="36"/>
        </w:rPr>
        <w:t xml:space="preserve">Chapter 18: The Great Recession — Disparate Devastation (2008–2010)</w:t>
      </w:r>
    </w:p>
    <w:p>
      <w:pPr>
        <w:pBdr>
          <w:bottom w:val="single" w:color="5b2c20" w:sz="4" w:space="1"/>
        </w:pBdr>
        <w:spacing w:after="200" w:before="200"/>
      </w:pPr>
    </w:p>
    <w:p>
      <w:pPr>
        <w:spacing w:after="200" w:before="0" w:line="312"/>
        <w:jc w:val="both"/>
      </w:pPr>
      <w:r>
        <w:rPr>
          <w:rFonts w:ascii="Georgia" w:cs="Georgia" w:eastAsia="Georgia" w:hAnsi="Georgia"/>
          <w:color w:val="3a3a3a"/>
          <w:sz w:val="24"/>
          <w:szCs w:val="24"/>
        </w:rPr>
        <w:t xml:space="preserve">The Great Recession was the most severe economic contraction since the Depression. It was not equally severe.</w:t>
      </w:r>
    </w:p>
    <w:p>
      <w:pPr>
        <w:pStyle w:val="Heading2"/>
        <w:spacing w:after="200" w:before="280"/>
      </w:pPr>
      <w:r>
        <w:rPr>
          <w:rFonts w:ascii="Georgia" w:cs="Georgia" w:eastAsia="Georgia" w:hAnsi="Georgia"/>
          <w:b/>
          <w:bCs/>
          <w:color w:val="1a1a1a"/>
          <w:sz w:val="30"/>
          <w:szCs w:val="30"/>
        </w:rPr>
        <w:t xml:space="preserve">18.1 — Employment</w:t>
      </w:r>
    </w:p>
    <w:p>
      <w:pPr>
        <w:spacing w:after="200" w:before="0" w:line="312"/>
        <w:jc w:val="both"/>
      </w:pPr>
      <w:r>
        <w:rPr>
          <w:rFonts w:ascii="Georgia" w:cs="Georgia" w:eastAsia="Georgia" w:hAnsi="Georgia"/>
          <w:color w:val="3a3a3a"/>
          <w:sz w:val="24"/>
          <w:szCs w:val="24"/>
        </w:rPr>
        <w:t xml:space="preserve">The national unemployment rate peaked at 10.0% in October 2009. The Black unemployment rate peaked at 16.8% in March 2010. The Hispanic rate peaked at 13.0%. The white rate peaked at 9.2%. The 2:1 Black-white unemployment ratio held — as it has in every recession since 1960.</w:t>
      </w:r>
    </w:p>
    <w:p>
      <w:pPr>
        <w:spacing w:after="200" w:before="0" w:line="312"/>
        <w:jc w:val="both"/>
      </w:pPr>
      <w:r>
        <w:rPr>
          <w:rFonts w:ascii="Georgia" w:cs="Georgia" w:eastAsia="Georgia" w:hAnsi="Georgia"/>
          <w:color w:val="3a3a3a"/>
          <w:sz w:val="24"/>
          <w:szCs w:val="24"/>
        </w:rPr>
        <w:t xml:space="preserve">This ratio is one of the most stable findings in labor economics. In good times and bad, Black unemployment is approximately twice white unemployment. The ratio does not narrow in booms or widen in busts. It is structural. It is the architecture.</w:t>
      </w:r>
    </w:p>
    <w:p>
      <w:pPr>
        <w:pStyle w:val="Heading2"/>
        <w:spacing w:after="200" w:before="280"/>
      </w:pPr>
      <w:r>
        <w:rPr>
          <w:rFonts w:ascii="Georgia" w:cs="Georgia" w:eastAsia="Georgia" w:hAnsi="Georgia"/>
          <w:b/>
          <w:bCs/>
          <w:color w:val="1a1a1a"/>
          <w:sz w:val="30"/>
          <w:szCs w:val="30"/>
        </w:rPr>
        <w:t xml:space="preserve">18.2 — Wealth Destruction by 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Group</w:t>
            </w:r>
          </w:p>
        </w:tc>
        <w:tc>
          <w:tcPr>
            <w:tcW w:type="dxa" w:w="240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Median Wealth 2007</w:t>
            </w:r>
          </w:p>
        </w:tc>
        <w:tc>
          <w:tcPr>
            <w:tcW w:type="dxa" w:w="240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Median Wealth 2010</w:t>
            </w:r>
          </w:p>
        </w:tc>
        <w:tc>
          <w:tcPr>
            <w:tcW w:type="dxa" w:w="236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 Decline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3a3a3a"/>
                <w:sz w:val="20"/>
                <w:szCs w:val="20"/>
              </w:rPr>
              <w:t xml:space="preserve">White</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$192,500</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$113,149</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-41%</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color w:val="3a3a3a"/>
                <w:sz w:val="20"/>
                <w:szCs w:val="20"/>
              </w:rPr>
              <w:t xml:space="preserve">Black</w:t>
            </w:r>
          </w:p>
        </w:tc>
        <w:tc>
          <w:tcPr>
            <w:tcW w:type="dxa" w:w="2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$19,200</w:t>
            </w:r>
          </w:p>
        </w:tc>
        <w:tc>
          <w:tcPr>
            <w:tcW w:type="dxa" w:w="2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$5,677</w:t>
            </w:r>
          </w:p>
        </w:tc>
        <w:tc>
          <w:tcPr>
            <w:tcW w:type="dxa" w:w="23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5b2c20"/>
                <w:sz w:val="20"/>
                <w:szCs w:val="20"/>
              </w:rPr>
              <w:t xml:space="preserve">-70%</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3a3a3a"/>
                <w:sz w:val="20"/>
                <w:szCs w:val="20"/>
              </w:rPr>
              <w:t xml:space="preserve">Hispanic</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$23,600</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$6,325</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b2c20"/>
                <w:sz w:val="20"/>
                <w:szCs w:val="20"/>
              </w:rPr>
              <w:t xml:space="preserve">-73%</w:t>
            </w:r>
          </w:p>
        </w:tc>
      </w:tr>
    </w:tbl>
    <w:p>
      <w:pPr>
        <w:spacing w:after="0" w:before="200"/>
      </w:pPr>
    </w:p>
    <w:p>
      <w:pPr>
        <w:spacing w:after="200" w:before="0" w:line="312"/>
        <w:jc w:val="both"/>
      </w:pPr>
      <w:r>
        <w:rPr>
          <w:rFonts w:ascii="Georgia" w:cs="Georgia" w:eastAsia="Georgia" w:hAnsi="Georgia"/>
          <w:color w:val="3a3a3a"/>
          <w:sz w:val="24"/>
          <w:szCs w:val="24"/>
        </w:rPr>
        <w:t xml:space="preserve">Source: Federal Reserve Survey of Consumer Finances. The percentage decline was nearly twice as severe for Black and Hispanic families as for white families. But the absolute numbers tell the deeper story: white families lost $79,000 and still had $113,000. Black families lost $13,500 and had $5,677. Hispanic families lost $17,275 and had $6,325.</w:t>
      </w:r>
    </w:p>
    <w:p>
      <w:pPr>
        <w:spacing w:after="200" w:before="0" w:line="312"/>
        <w:jc w:val="both"/>
      </w:pPr>
      <w:r>
        <w:rPr>
          <w:rFonts w:ascii="Georgia" w:cs="Georgia" w:eastAsia="Georgia" w:hAnsi="Georgia"/>
          <w:color w:val="3a3a3a"/>
          <w:sz w:val="24"/>
          <w:szCs w:val="24"/>
        </w:rPr>
        <w:t xml:space="preserve">The Great Recession did not create the wealth gap. It revealed how thin the floor was beneath communities that had been systematically excluded from wealth-building mechanisms for 75 years. When the floor gave way, some fell from the tenth story. Others fell from the basement.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77777"/>
        <w:sz w:val="16"/>
        <w:szCs w:val="16"/>
      </w:rPr>
      <w:t xml:space="preserve">1931 TO NOW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a3a3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a1a1a"/>
      <w:sz w:val="36"/>
      <w:szCs w:val="36"/>
    </w:rPr>
  </w:style>
  <w:style w:type="paragraph" w:styleId="Heading2">
    <w:name w:val="Heading 2"/>
    <w:basedOn w:val="Normal"/>
    <w:next w:val="Normal"/>
    <w:qFormat/>
    <w:pPr>
      <w:spacing w:after="200" w:before="280"/>
      <w:outlineLvl w:val="1"/>
    </w:pPr>
    <w:rPr>
      <w:rFonts w:ascii="Georgia" w:cs="Georgia" w:eastAsia="Georgia" w:hAnsi="Georgia"/>
      <w:b/>
      <w:bCs/>
      <w:color w:val="1a1a1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2026-04-01T23:50:17.558Z</dcterms:created>
  <dcterms:modified xsi:type="dcterms:W3CDTF">2026-04-01T23:50:17.559Z</dcterms:modified>
</cp:coreProperties>
</file>

<file path=docProps/custom.xml><?xml version="1.0" encoding="utf-8"?>
<Properties xmlns="http://schemas.openxmlformats.org/officeDocument/2006/custom-properties" xmlns:vt="http://schemas.openxmlformats.org/officeDocument/2006/docPropsVTypes"/>
</file>