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1a"/>
          <w:sz w:val="40"/>
          <w:szCs w:val="40"/>
        </w:rPr>
        <w:t xml:space="preserve">PART V</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PRESENT (2010–2026)</w:t>
      </w:r>
    </w:p>
    <w:p>
      <w:pPr>
        <w:spacing w:after="0" w:before="400"/>
      </w:pPr>
    </w:p>
    <w:p>
      <w:pPr>
        <w:spacing w:after="200" w:before="200"/>
        <w:ind w:left="720" w:right="720"/>
      </w:pPr>
      <w:r>
        <w:rPr>
          <w:rFonts w:ascii="Georgia" w:cs="Georgia" w:eastAsia="Georgia" w:hAnsi="Georgia"/>
          <w:i/>
          <w:iCs/>
          <w:color w:val="5b2c20"/>
          <w:sz w:val="24"/>
          <w:szCs w:val="24"/>
        </w:rPr>
        <w:t xml:space="preserve">The architecture adapted. The mechanisms changed. The gap did not.</w:t>
      </w:r>
    </w:p>
    <w:p>
      <w:r>
        <w:br w:type="page"/>
      </w:r>
    </w:p>
    <w:p>
      <w:pPr>
        <w:pStyle w:val="Heading1"/>
        <w:spacing w:after="240" w:before="360"/>
      </w:pPr>
      <w:r>
        <w:rPr>
          <w:rFonts w:ascii="Georgia" w:cs="Georgia" w:eastAsia="Georgia" w:hAnsi="Georgia"/>
          <w:b/>
          <w:bCs/>
          <w:color w:val="1a1a1a"/>
          <w:sz w:val="36"/>
          <w:szCs w:val="36"/>
        </w:rPr>
        <w:t xml:space="preserve">Chapter 19: Recovery, Gig Work, and the New Precariat (2010–2019)</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post-2008 recovery was the slowest since World War II and the most unequal. The stock market recovered to pre-crash levels by 2013. The job market did not recover to pre-crash employment levels until 2014. The wealth gap did not recover at all — it widened.</w:t>
      </w:r>
    </w:p>
    <w:p>
      <w:pPr>
        <w:pStyle w:val="Heading2"/>
        <w:spacing w:after="200" w:before="280"/>
      </w:pPr>
      <w:r>
        <w:rPr>
          <w:rFonts w:ascii="Georgia" w:cs="Georgia" w:eastAsia="Georgia" w:hAnsi="Georgia"/>
          <w:b/>
          <w:bCs/>
          <w:color w:val="1a1a1a"/>
          <w:sz w:val="30"/>
          <w:szCs w:val="30"/>
        </w:rPr>
        <w:t xml:space="preserve">19.1 — The Two-Track Recovery</w:t>
      </w:r>
    </w:p>
    <w:p>
      <w:pPr>
        <w:spacing w:after="200" w:before="0" w:line="312"/>
        <w:jc w:val="both"/>
      </w:pPr>
      <w:r>
        <w:rPr>
          <w:rFonts w:ascii="Georgia" w:cs="Georgia" w:eastAsia="Georgia" w:hAnsi="Georgia"/>
          <w:color w:val="3a3a3a"/>
          <w:sz w:val="24"/>
          <w:szCs w:val="24"/>
        </w:rPr>
        <w:t xml:space="preserve">Asset prices recovered first. Stocks, bonds, and real estate in high-demand markets rebounded strongly. Wage growth lagged behind. Between 2010 and 2019, the S&amp;P 500 tripled. Median household income grew by approximately 15% in inflation-adjusted terms.</w:t>
      </w:r>
    </w:p>
    <w:p>
      <w:pPr>
        <w:spacing w:after="200" w:before="0" w:line="312"/>
        <w:jc w:val="both"/>
      </w:pPr>
      <w:r>
        <w:rPr>
          <w:rFonts w:ascii="Georgia" w:cs="Georgia" w:eastAsia="Georgia" w:hAnsi="Georgia"/>
          <w:color w:val="3a3a3a"/>
          <w:sz w:val="24"/>
          <w:szCs w:val="24"/>
        </w:rPr>
        <w:t xml:space="preserve">The racial implication: white households hold approximately 90% of stock market wealth. When the recovery was asset-driven, it flowed disproportionately to white households. Black household wealth, concentrated in homeownership (which recovered more slowly, especially in formerly subprime-targeted neighborhoods), lagged behind.</w:t>
      </w:r>
    </w:p>
    <w:p>
      <w:pPr>
        <w:pStyle w:val="Heading2"/>
        <w:spacing w:after="200" w:before="280"/>
      </w:pPr>
      <w:r>
        <w:rPr>
          <w:rFonts w:ascii="Georgia" w:cs="Georgia" w:eastAsia="Georgia" w:hAnsi="Georgia"/>
          <w:b/>
          <w:bCs/>
          <w:color w:val="1a1a1a"/>
          <w:sz w:val="30"/>
          <w:szCs w:val="30"/>
        </w:rPr>
        <w:t xml:space="preserve">19.2 — The Gig Economy</w:t>
      </w:r>
    </w:p>
    <w:p>
      <w:pPr>
        <w:spacing w:after="200" w:before="0" w:line="312"/>
        <w:jc w:val="both"/>
      </w:pPr>
      <w:r>
        <w:rPr>
          <w:rFonts w:ascii="Georgia" w:cs="Georgia" w:eastAsia="Georgia" w:hAnsi="Georgia"/>
          <w:color w:val="3a3a3a"/>
          <w:sz w:val="24"/>
          <w:szCs w:val="24"/>
        </w:rPr>
        <w:t xml:space="preserve">Uber (founded 2009), Lyft (2012), DoorDash (2013), Instacart (2012), and the broader “gig economy” created a new employment category: independent contractor. Gig workers receive no benefits, no overtime, no employer-matched Social Security, no unemployment insurance, and no minimum wage floor. They bear all risk. The platform bears none.</w:t>
      </w:r>
    </w:p>
    <w:p>
      <w:pPr>
        <w:spacing w:after="200" w:before="0" w:line="312"/>
        <w:jc w:val="both"/>
      </w:pPr>
      <w:r>
        <w:rPr>
          <w:rFonts w:ascii="Georgia" w:cs="Georgia" w:eastAsia="Georgia" w:hAnsi="Georgia"/>
          <w:color w:val="3a3a3a"/>
          <w:sz w:val="24"/>
          <w:szCs w:val="24"/>
        </w:rPr>
        <w:t xml:space="preserve">Black and Hispanic workers are overrepresented in gig work: approximately 16% of Black workers and 14% of Hispanic workers participate in the gig economy, compared to 10% of white workers (Bureau of Labor Statistics Contingent Worker Supplement, 2017). The gig economy is the 21st-century version of the FLSA agricultural exemption: a class of workers excluded from the protections that other workers receive, and disproportionately non-white.</w:t>
      </w:r>
    </w:p>
    <w:p>
      <w:pPr>
        <w:pStyle w:val="Heading2"/>
        <w:spacing w:after="200" w:before="280"/>
      </w:pPr>
      <w:r>
        <w:rPr>
          <w:rFonts w:ascii="Georgia" w:cs="Georgia" w:eastAsia="Georgia" w:hAnsi="Georgia"/>
          <w:b/>
          <w:bCs/>
          <w:color w:val="1a1a1a"/>
          <w:sz w:val="30"/>
          <w:szCs w:val="30"/>
        </w:rPr>
        <w:t xml:space="preserve">19.3 — The Pre-Pandemic Snapshot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w:t>
            </w:r>
          </w:p>
        </w:tc>
        <w:tc>
          <w:tcPr>
            <w:tcW w:type="dxa" w:w="21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Median HH income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$76,057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$46,073</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61%</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Median HH wealth</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$188,200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$24,100</w:t>
            </w:r>
          </w:p>
        </w:tc>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12.8%</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Unemployment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6.1%</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1.8x</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Homeownership</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73.7%</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42.1%</w:t>
            </w:r>
          </w:p>
        </w:tc>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31.6 pt gap</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Poverty rate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18.8%</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2.6x</w:t>
            </w:r>
          </w:p>
        </w:tc>
      </w:tr>
    </w:tbl>
    <w:p>
      <w:pPr>
        <w:spacing w:after="0" w:before="200"/>
      </w:pPr>
    </w:p>
    <w:p>
      <w:pPr>
        <w:spacing w:after="200" w:before="0" w:line="312"/>
        <w:jc w:val="both"/>
      </w:pPr>
      <w:r>
        <w:rPr>
          <w:rFonts w:ascii="Georgia" w:cs="Georgia" w:eastAsia="Georgia" w:hAnsi="Georgia"/>
          <w:color w:val="3a3a3a"/>
          <w:sz w:val="24"/>
          <w:szCs w:val="24"/>
        </w:rPr>
        <w:t xml:space="preserve">Source: Census Bureau, Federal Reserve, BLS. In 2019 — before the pandemic, before the racial reckoning, before any disruption — these were the numbers. The income ratio (61%) was essentially unchanged from 1968 (58%). The wealth ratio (12.8%) was worse than 2007 (10:1 = 10%). The unemployment ratio (1.8x) was the same as every year since 1960. The architecture held.</w:t>
      </w:r>
    </w:p>
    <w:p>
      <w:r>
        <w:br w:type="page"/>
      </w:r>
    </w:p>
    <w:p>
      <w:pPr>
        <w:pStyle w:val="Heading1"/>
        <w:spacing w:after="240" w:before="360"/>
      </w:pPr>
      <w:r>
        <w:rPr>
          <w:rFonts w:ascii="Georgia" w:cs="Georgia" w:eastAsia="Georgia" w:hAnsi="Georgia"/>
          <w:b/>
          <w:bCs/>
          <w:color w:val="1a1a1a"/>
          <w:sz w:val="36"/>
          <w:szCs w:val="36"/>
        </w:rPr>
        <w:t xml:space="preserve">Chapter 20: COVID-19 — The Pandemic as X-Ray (2020–2021)</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pandemic did not create disparities. It illuminated them with lethal clarity.</w:t>
      </w:r>
    </w:p>
    <w:p>
      <w:pPr>
        <w:pStyle w:val="Heading2"/>
        <w:spacing w:after="200" w:before="280"/>
      </w:pPr>
      <w:r>
        <w:rPr>
          <w:rFonts w:ascii="Georgia" w:cs="Georgia" w:eastAsia="Georgia" w:hAnsi="Georgia"/>
          <w:b/>
          <w:bCs/>
          <w:color w:val="1a1a1a"/>
          <w:sz w:val="30"/>
          <w:szCs w:val="30"/>
        </w:rPr>
        <w:t xml:space="preserve">20.1 — Mortality</w:t>
      </w:r>
    </w:p>
    <w:p>
      <w:pPr>
        <w:spacing w:after="200" w:before="0" w:line="312"/>
        <w:jc w:val="both"/>
      </w:pPr>
      <w:r>
        <w:rPr>
          <w:rFonts w:ascii="Georgia" w:cs="Georgia" w:eastAsia="Georgia" w:hAnsi="Georgia"/>
          <w:color w:val="3a3a3a"/>
          <w:sz w:val="24"/>
          <w:szCs w:val="24"/>
        </w:rPr>
        <w:t xml:space="preserve">Age-adjusted COVID-19 death rates through 2021 (CDC): Black Americans died at 1.7 times the rate of white Americans. Hispanic Americans died at 1.8 times the rate. Native Americans died at 2.1 times the rate. These disparities were driven by occupational exposure (essential workers in low-wage jobs), residential density (housing segregation), pre-existing health conditions (products of healthcare disparities), and reduced access to healthcare and testing.</w:t>
      </w:r>
    </w:p>
    <w:p>
      <w:pPr>
        <w:spacing w:after="200" w:before="0" w:line="312"/>
        <w:jc w:val="both"/>
      </w:pPr>
      <w:r>
        <w:rPr>
          <w:rFonts w:ascii="Georgia" w:cs="Georgia" w:eastAsia="Georgia" w:hAnsi="Georgia"/>
          <w:color w:val="3a3a3a"/>
          <w:sz w:val="24"/>
          <w:szCs w:val="24"/>
        </w:rPr>
        <w:t xml:space="preserve">The people who died at higher rates were disproportionately the people who had been paid less, housed worse, insured less, and treated later for 90 years of accumulated policy choices. COVID did not create the vulnerability. The architecture created the vulnerability. COVID exploited it.</w:t>
      </w:r>
    </w:p>
    <w:p>
      <w:pPr>
        <w:pStyle w:val="Heading2"/>
        <w:spacing w:after="200" w:before="280"/>
      </w:pPr>
      <w:r>
        <w:rPr>
          <w:rFonts w:ascii="Georgia" w:cs="Georgia" w:eastAsia="Georgia" w:hAnsi="Georgia"/>
          <w:b/>
          <w:bCs/>
          <w:color w:val="1a1a1a"/>
          <w:sz w:val="30"/>
          <w:szCs w:val="30"/>
        </w:rPr>
        <w:t xml:space="preserve">20.2 — Employment</w:t>
      </w:r>
    </w:p>
    <w:p>
      <w:pPr>
        <w:spacing w:after="200" w:before="0" w:line="312"/>
        <w:jc w:val="both"/>
      </w:pPr>
      <w:r>
        <w:rPr>
          <w:rFonts w:ascii="Georgia" w:cs="Georgia" w:eastAsia="Georgia" w:hAnsi="Georgia"/>
          <w:color w:val="3a3a3a"/>
          <w:sz w:val="24"/>
          <w:szCs w:val="24"/>
        </w:rPr>
        <w:t xml:space="preserve">Black unemployment spiked to 16.7% in May 2020 (compared to 14.2% for white workers). Black women experienced the highest unemployment of any demographic group: 17.2%. The sectors hardest hit by lockdowns — hospitality, retail, food service, personal care — were sectors with high Black and Hispanic representation.</w:t>
      </w:r>
    </w:p>
    <w:p>
      <w:pPr>
        <w:spacing w:after="200" w:before="0" w:line="312"/>
        <w:jc w:val="both"/>
      </w:pPr>
      <w:r>
        <w:rPr>
          <w:rFonts w:ascii="Georgia" w:cs="Georgia" w:eastAsia="Georgia" w:hAnsi="Georgia"/>
          <w:color w:val="3a3a3a"/>
          <w:sz w:val="24"/>
          <w:szCs w:val="24"/>
        </w:rPr>
        <w:t xml:space="preserve">The recovery was again two-tracked: knowledge workers (disproportionately white) transitioned to remote work. Service workers (disproportionately non-white) were either laid off or required to work in person at elevated risk. The pandemic divided the economy into people who could work from their living rooms and people who risked their lives in other people’s living rooms.</w:t>
      </w:r>
    </w:p>
    <w:p>
      <w:pPr>
        <w:pStyle w:val="Heading2"/>
        <w:spacing w:after="200" w:before="280"/>
      </w:pPr>
      <w:r>
        <w:rPr>
          <w:rFonts w:ascii="Georgia" w:cs="Georgia" w:eastAsia="Georgia" w:hAnsi="Georgia"/>
          <w:b/>
          <w:bCs/>
          <w:color w:val="1a1a1a"/>
          <w:sz w:val="30"/>
          <w:szCs w:val="30"/>
        </w:rPr>
        <w:t xml:space="preserve">20.3 — Wealth</w:t>
      </w:r>
    </w:p>
    <w:p>
      <w:pPr>
        <w:spacing w:after="200" w:before="0" w:line="312"/>
        <w:jc w:val="both"/>
      </w:pPr>
      <w:r>
        <w:rPr>
          <w:rFonts w:ascii="Georgia" w:cs="Georgia" w:eastAsia="Georgia" w:hAnsi="Georgia"/>
          <w:color w:val="3a3a3a"/>
          <w:sz w:val="24"/>
          <w:szCs w:val="24"/>
        </w:rPr>
        <w:t xml:space="preserve">Between Q1 2020 and Q4 2021, U.S. household wealth increased by $30 trillion (Federal Reserve). Stock market recovery and home price appreciation drove the increase. The distribution: white households captured approximately 82% of this wealth gain. Black households captured approximately 4%. The pandemic produced a $30 trillion wealth event that overwhelmingly benefited the group that was already wealthiest.</w:t>
      </w:r>
    </w:p>
    <w:p>
      <w:r>
        <w:br w:type="page"/>
      </w:r>
    </w:p>
    <w:p>
      <w:pPr>
        <w:pStyle w:val="Heading1"/>
        <w:spacing w:after="240" w:before="360"/>
      </w:pPr>
      <w:r>
        <w:rPr>
          <w:rFonts w:ascii="Georgia" w:cs="Georgia" w:eastAsia="Georgia" w:hAnsi="Georgia"/>
          <w:b/>
          <w:bCs/>
          <w:color w:val="1a1a1a"/>
          <w:sz w:val="36"/>
          <w:szCs w:val="36"/>
        </w:rPr>
        <w:t xml:space="preserve">Chapter 21: Algorithmic Inequality — When AI Inherits the Gap (2020–2026)</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Artificial intelligence systems are trained on historical data. Historical data contains the accumulated record of 95 years of discriminatory policy. When an AI system learns from this data, it learns the discrimination.</w:t>
      </w:r>
    </w:p>
    <w:p>
      <w:pPr>
        <w:pStyle w:val="Heading2"/>
        <w:spacing w:after="200" w:before="280"/>
      </w:pPr>
      <w:r>
        <w:rPr>
          <w:rFonts w:ascii="Georgia" w:cs="Georgia" w:eastAsia="Georgia" w:hAnsi="Georgia"/>
          <w:b/>
          <w:bCs/>
          <w:color w:val="1a1a1a"/>
          <w:sz w:val="30"/>
          <w:szCs w:val="30"/>
        </w:rPr>
        <w:t xml:space="preserve">21.1 — Hiring Algorithms</w:t>
      </w:r>
    </w:p>
    <w:p>
      <w:pPr>
        <w:spacing w:after="200" w:before="0" w:line="312"/>
        <w:jc w:val="both"/>
      </w:pPr>
      <w:r>
        <w:rPr>
          <w:rFonts w:ascii="Georgia" w:cs="Georgia" w:eastAsia="Georgia" w:hAnsi="Georgia"/>
          <w:color w:val="3a3a3a"/>
          <w:sz w:val="24"/>
          <w:szCs w:val="24"/>
        </w:rPr>
        <w:t xml:space="preserve">Amazon’s internal AI recruiting tool, developed in 2014 and scrapped in 2018, systematically penalized resumes containing the word “women’s” (as in “women’s chess club”) and downgraded graduates of all-women’s colleges. The system had been trained on Amazon’s hiring data from the previous 10 years — a period in which Amazon’s technical workforce was predominantly male. The AI didn’t decide women were less qualified. It observed that Amazon had historically hired fewer women and optimized for that pattern.</w:t>
      </w:r>
    </w:p>
    <w:p>
      <w:pPr>
        <w:spacing w:after="200" w:before="0" w:line="312"/>
        <w:jc w:val="both"/>
      </w:pPr>
      <w:r>
        <w:rPr>
          <w:rFonts w:ascii="Georgia" w:cs="Georgia" w:eastAsia="Georgia" w:hAnsi="Georgia"/>
          <w:color w:val="3a3a3a"/>
          <w:sz w:val="24"/>
          <w:szCs w:val="24"/>
        </w:rPr>
        <w:t xml:space="preserve">Similar patterns have been documented in criminal risk assessment tools (COMPAS, documented by ProPublica in 2016, showed Black defendants were 77% more likely to be falsely flagged as high-risk for future crime than white defendants), credit scoring algorithms (demonstrated by Berkeley researchers in 2018 to charge Black and Hispanic borrowers higher mortgage interest rates controlling for creditworthiness), and healthcare allocation systems (documented by Science in 2019 — an algorithm used by major health systems to allocate care systematically underestimated the health needs of Black patients).</w:t>
      </w:r>
    </w:p>
    <w:p>
      <w:pPr>
        <w:pStyle w:val="Heading2"/>
        <w:spacing w:after="200" w:before="280"/>
      </w:pPr>
      <w:r>
        <w:rPr>
          <w:rFonts w:ascii="Georgia" w:cs="Georgia" w:eastAsia="Georgia" w:hAnsi="Georgia"/>
          <w:b/>
          <w:bCs/>
          <w:color w:val="1a1a1a"/>
          <w:sz w:val="30"/>
          <w:szCs w:val="30"/>
        </w:rPr>
        <w:t xml:space="preserve">21.2 — AI and the Labor Market</w:t>
      </w:r>
    </w:p>
    <w:p>
      <w:pPr>
        <w:spacing w:after="200" w:before="0" w:line="312"/>
        <w:jc w:val="both"/>
      </w:pPr>
      <w:r>
        <w:rPr>
          <w:rFonts w:ascii="Georgia" w:cs="Georgia" w:eastAsia="Georgia" w:hAnsi="Georgia"/>
          <w:color w:val="3a3a3a"/>
          <w:sz w:val="24"/>
          <w:szCs w:val="24"/>
        </w:rPr>
        <w:t xml:space="preserve">Goldman Sachs estimated in 2023 that AI could automate 300 million jobs globally. McKinsey’s 2023 analysis projected that Black workers are 10% more likely than white workers to hold jobs that are highly automatable, because the occupational distribution of Black workers is concentrated in administrative support, food service, retail, and transportation — all high-automation categories.</w:t>
      </w:r>
    </w:p>
    <w:p>
      <w:pPr>
        <w:spacing w:after="200" w:before="0" w:line="312"/>
        <w:jc w:val="both"/>
      </w:pPr>
      <w:r>
        <w:rPr>
          <w:rFonts w:ascii="Georgia" w:cs="Georgia" w:eastAsia="Georgia" w:hAnsi="Georgia"/>
          <w:color w:val="3a3a3a"/>
          <w:sz w:val="24"/>
          <w:szCs w:val="24"/>
        </w:rPr>
        <w:t xml:space="preserve">AI is not neutral technology. It is a technology that, without deliberate intervention, will reproduce and accelerate the patterns embedded in its training data. The wage gap, the employment gap, the wealth gap, and the opportunity gap are all in the training data. The AI will learn them, optimize for them, and scale them.</w:t>
      </w:r>
    </w:p>
    <w:p>
      <w:r>
        <w:br w:type="page"/>
      </w:r>
    </w:p>
    <w:p>
      <w:pPr>
        <w:pStyle w:val="Heading1"/>
        <w:spacing w:after="240" w:before="360"/>
      </w:pPr>
      <w:r>
        <w:rPr>
          <w:rFonts w:ascii="Georgia" w:cs="Georgia" w:eastAsia="Georgia" w:hAnsi="Georgia"/>
          <w:b/>
          <w:bCs/>
          <w:color w:val="1a1a1a"/>
          <w:sz w:val="36"/>
          <w:szCs w:val="36"/>
        </w:rPr>
        <w:t xml:space="preserve">Chapter 22: The Numbers Right Now — 2026 Snapshot</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Where the gaps stand as of the most recent available federal data: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17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w:t>
            </w:r>
          </w:p>
        </w:tc>
        <w:tc>
          <w:tcPr>
            <w:tcW w:type="dxa" w:w="17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w:t>
            </w:r>
          </w:p>
        </w:tc>
        <w:tc>
          <w:tcPr>
            <w:tcW w:type="dxa" w:w="17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Hispanic</w:t>
            </w:r>
          </w:p>
        </w:tc>
        <w:tc>
          <w:tcPr>
            <w:tcW w:type="dxa" w:w="16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Women/Men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Median HH income (2024)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$81,060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$52,860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$55,500</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83.6¢/$1</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Median HH wealth (2022)</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$285,000</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$44,900</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$61,600</w:t>
            </w:r>
          </w:p>
        </w:tc>
        <w:tc>
          <w:tcPr>
            <w:tcW w:type="dxa" w:w="1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Unemployment (2024)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3.4%</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5.6%</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4.9%</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3.6%/3.5%</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Homeownership (2024)</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74%</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44%</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49%</w:t>
            </w:r>
          </w:p>
        </w:tc>
        <w:tc>
          <w:tcPr>
            <w:tcW w:type="dxa" w:w="1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Poverty rate (2023)</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8.2%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17.1%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16.9%</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11.1%/8.3%</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Life expectancy (2022)</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79.6 yrs</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74.8 yrs</w:t>
            </w:r>
          </w:p>
        </w:tc>
        <w:tc>
          <w:tcPr>
            <w:tcW w:type="dxa" w:w="17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80.0 yrs</w:t>
            </w:r>
          </w:p>
        </w:tc>
        <w:tc>
          <w:tcPr>
            <w:tcW w:type="dxa" w:w="1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80.2/74.8</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College degree (age 25+)</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21%</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39%/36%</w:t>
            </w:r>
          </w:p>
        </w:tc>
      </w:tr>
    </w:tbl>
    <w:p>
      <w:pPr>
        <w:spacing w:after="0" w:before="200"/>
      </w:pPr>
    </w:p>
    <w:p>
      <w:pPr>
        <w:spacing w:after="200" w:before="0" w:line="312"/>
        <w:jc w:val="both"/>
      </w:pPr>
      <w:r>
        <w:rPr>
          <w:rFonts w:ascii="Georgia" w:cs="Georgia" w:eastAsia="Georgia" w:hAnsi="Georgia"/>
          <w:color w:val="3a3a3a"/>
          <w:sz w:val="24"/>
          <w:szCs w:val="24"/>
        </w:rPr>
        <w:t xml:space="preserve">Sources: Census Bureau (CPS ASEC 2024), Federal Reserve (SCF 2022), BLS, CDC, NCHS. The wealth ratio (6.3:1) is the headline number. Black households hold 15.8 cents of wealth for every dollar held by white households. After 95 years of civil rights legislation, antidiscrimination law, affirmative action, equal opportunity enforcement, and diversity programs.</w:t>
      </w:r>
    </w:p>
    <w:p>
      <w:pPr>
        <w:spacing w:after="200" w:before="0" w:line="312"/>
        <w:jc w:val="both"/>
      </w:pPr>
      <w:r>
        <w:rPr>
          <w:rFonts w:ascii="Georgia" w:cs="Georgia" w:eastAsia="Georgia" w:hAnsi="Georgia"/>
          <w:color w:val="3a3a3a"/>
          <w:sz w:val="24"/>
          <w:szCs w:val="24"/>
        </w:rPr>
        <w:t xml:space="preserve">Fifteen point eight cents on the dollar. That is the architecture, measured.</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VI</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ARITHMETIC</w:t>
      </w:r>
    </w:p>
    <w:p>
      <w:pPr>
        <w:spacing w:after="0" w:before="400"/>
      </w:pPr>
    </w:p>
    <w:p>
      <w:pPr>
        <w:spacing w:after="200" w:before="200"/>
        <w:ind w:left="720" w:right="720"/>
      </w:pPr>
      <w:r>
        <w:rPr>
          <w:rFonts w:ascii="Georgia" w:cs="Georgia" w:eastAsia="Georgia" w:hAnsi="Georgia"/>
          <w:i/>
          <w:iCs/>
          <w:color w:val="5b2c20"/>
          <w:sz w:val="24"/>
          <w:szCs w:val="24"/>
        </w:rPr>
        <w:t xml:space="preserve">The gap is not a mystery. It is a calculation. Here is the calculation.</w:t>
      </w:r>
    </w:p>
    <w:p>
      <w:r>
        <w:br w:type="page"/>
      </w:r>
    </w:p>
    <w:p>
      <w:pPr>
        <w:pStyle w:val="Heading1"/>
        <w:spacing w:after="240" w:before="360"/>
      </w:pPr>
      <w:r>
        <w:rPr>
          <w:rFonts w:ascii="Georgia" w:cs="Georgia" w:eastAsia="Georgia" w:hAnsi="Georgia"/>
          <w:b/>
          <w:bCs/>
          <w:color w:val="1a1a1a"/>
          <w:sz w:val="36"/>
          <w:szCs w:val="36"/>
        </w:rPr>
        <w:t xml:space="preserve">Chapter 23: The Compound Interest Calculation</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If one group earns 60 cents for every dollar earned by another group, and both groups save 10% of their income, and both groups invest their savings at the same rate of return (5% annually), and they do this for 95 years, what is the wealth ratio at the end?</w:t>
      </w:r>
    </w:p>
    <w:p>
      <w:pPr>
        <w:pStyle w:val="Heading2"/>
        <w:spacing w:after="200" w:before="280"/>
      </w:pPr>
      <w:r>
        <w:rPr>
          <w:rFonts w:ascii="Georgia" w:cs="Georgia" w:eastAsia="Georgia" w:hAnsi="Georgia"/>
          <w:b/>
          <w:bCs/>
          <w:color w:val="1a1a1a"/>
          <w:sz w:val="30"/>
          <w:szCs w:val="30"/>
        </w:rPr>
        <w:t xml:space="preserve">23.1 — The Basic Model</w:t>
      </w:r>
    </w:p>
    <w:p>
      <w:pPr>
        <w:spacing w:after="200" w:before="0" w:line="312"/>
        <w:jc w:val="both"/>
      </w:pPr>
      <w:r>
        <w:rPr>
          <w:rFonts w:ascii="Georgia" w:cs="Georgia" w:eastAsia="Georgia" w:hAnsi="Georgia"/>
          <w:color w:val="3a3a3a"/>
          <w:sz w:val="24"/>
          <w:szCs w:val="24"/>
        </w:rPr>
        <w:t xml:space="preserve">White family annual income: $1.00 (normalized). Savings: $0.10/year.</w:t>
      </w:r>
    </w:p>
    <w:p>
      <w:pPr>
        <w:spacing w:after="200" w:before="0" w:line="312"/>
        <w:jc w:val="both"/>
      </w:pPr>
      <w:r>
        <w:rPr>
          <w:rFonts w:ascii="Georgia" w:cs="Georgia" w:eastAsia="Georgia" w:hAnsi="Georgia"/>
          <w:color w:val="3a3a3a"/>
          <w:sz w:val="24"/>
          <w:szCs w:val="24"/>
        </w:rPr>
        <w:t xml:space="preserve">Black family annual income: $0.60. Savings: $0.06/year.</w:t>
      </w:r>
    </w:p>
    <w:p>
      <w:pPr>
        <w:spacing w:after="200" w:before="0" w:line="312"/>
        <w:jc w:val="both"/>
      </w:pPr>
      <w:r>
        <w:rPr>
          <w:rFonts w:ascii="Georgia" w:cs="Georgia" w:eastAsia="Georgia" w:hAnsi="Georgia"/>
          <w:color w:val="3a3a3a"/>
          <w:sz w:val="24"/>
          <w:szCs w:val="24"/>
        </w:rPr>
        <w:t xml:space="preserve">After 95 years of compounding at 5%:</w:t>
      </w:r>
    </w:p>
    <w:p>
      <w:pPr>
        <w:spacing w:after="80" w:before="0" w:line="312"/>
        <w:jc w:val="both"/>
      </w:pPr>
      <w:r>
        <w:rPr>
          <w:rFonts w:ascii="Georgia" w:cs="Georgia" w:eastAsia="Georgia" w:hAnsi="Georgia"/>
          <w:b/>
          <w:bCs/>
          <w:color w:val="3a3a3a"/>
          <w:sz w:val="24"/>
          <w:szCs w:val="24"/>
        </w:rPr>
        <w:t xml:space="preserve">White accumulated wealth: </w:t>
      </w:r>
      <w:r>
        <w:rPr>
          <w:rFonts w:ascii="Georgia" w:cs="Georgia" w:eastAsia="Georgia" w:hAnsi="Georgia"/>
          <w:color w:val="3a3a3a"/>
          <w:sz w:val="24"/>
          <w:szCs w:val="24"/>
        </w:rPr>
        <w:t xml:space="preserve">$0.10 × ((1.05^95 − 1) / 0.05) = $0.10 × 2,040.7 = $204.07</w:t>
      </w:r>
    </w:p>
    <w:p>
      <w:pPr>
        <w:spacing w:after="80" w:before="0" w:line="312"/>
        <w:jc w:val="both"/>
      </w:pPr>
      <w:r>
        <w:rPr>
          <w:rFonts w:ascii="Georgia" w:cs="Georgia" w:eastAsia="Georgia" w:hAnsi="Georgia"/>
          <w:b/>
          <w:bCs/>
          <w:color w:val="3a3a3a"/>
          <w:sz w:val="24"/>
          <w:szCs w:val="24"/>
        </w:rPr>
        <w:t xml:space="preserve">Black accumulated wealth: </w:t>
      </w:r>
      <w:r>
        <w:rPr>
          <w:rFonts w:ascii="Georgia" w:cs="Georgia" w:eastAsia="Georgia" w:hAnsi="Georgia"/>
          <w:color w:val="3a3a3a"/>
          <w:sz w:val="24"/>
          <w:szCs w:val="24"/>
        </w:rPr>
        <w:t xml:space="preserve">$0.06 × ((1.05^95 − 1) / 0.05) = $0.06 × 2,040.7 = $122.44</w:t>
      </w:r>
    </w:p>
    <w:p>
      <w:pPr>
        <w:spacing w:after="200" w:before="0" w:line="312"/>
        <w:jc w:val="both"/>
      </w:pPr>
      <w:r>
        <w:rPr>
          <w:rFonts w:ascii="Georgia" w:cs="Georgia" w:eastAsia="Georgia" w:hAnsi="Georgia"/>
          <w:b/>
          <w:bCs/>
          <w:color w:val="3a3a3a"/>
          <w:sz w:val="24"/>
          <w:szCs w:val="24"/>
        </w:rPr>
        <w:t xml:space="preserve">Ratio: </w:t>
      </w:r>
      <w:r>
        <w:rPr>
          <w:rFonts w:ascii="Georgia" w:cs="Georgia" w:eastAsia="Georgia" w:hAnsi="Georgia"/>
          <w:color w:val="3a3a3a"/>
          <w:sz w:val="24"/>
          <w:szCs w:val="24"/>
        </w:rPr>
        <w:t xml:space="preserve">1.67:1. If the ONLY difference were income, the wealth gap would be 1.67:1.</w:t>
      </w:r>
    </w:p>
    <w:p>
      <w:pPr>
        <w:spacing w:after="200" w:before="0" w:line="312"/>
        <w:jc w:val="both"/>
      </w:pPr>
      <w:r>
        <w:rPr>
          <w:rFonts w:ascii="Georgia" w:cs="Georgia" w:eastAsia="Georgia" w:hAnsi="Georgia"/>
          <w:color w:val="3a3a3a"/>
          <w:sz w:val="24"/>
          <w:szCs w:val="24"/>
        </w:rPr>
        <w:t xml:space="preserve">But the actual wealth gap is 6.3:1. The income gap alone explains only 27% of the wealth gap. The remaining 73% is explained by the mechanisms this book documents: exclusion from homeownership (redlining, FHA, GI Bill), exclusion from Social Security and labor protections (New Deal carve-outs), targeted wealth destruction (subprime crisis), wage suppression through incarceration, and the compound effect of lower returns on investment due to residential segregation (homes in Black neighborhoods appreciate less than comparable homes in white neighborhoods).</w:t>
      </w:r>
    </w:p>
    <w:p>
      <w:pPr>
        <w:pStyle w:val="Heading2"/>
        <w:spacing w:after="200" w:before="280"/>
      </w:pPr>
      <w:r>
        <w:rPr>
          <w:rFonts w:ascii="Georgia" w:cs="Georgia" w:eastAsia="Georgia" w:hAnsi="Georgia"/>
          <w:b/>
          <w:bCs/>
          <w:color w:val="1a1a1a"/>
          <w:sz w:val="30"/>
          <w:szCs w:val="30"/>
        </w:rPr>
        <w:t xml:space="preserve">23.2 — The Homeownership Multiplier</w:t>
      </w:r>
    </w:p>
    <w:p>
      <w:pPr>
        <w:spacing w:after="200" w:before="0" w:line="312"/>
        <w:jc w:val="both"/>
      </w:pPr>
      <w:r>
        <w:rPr>
          <w:rFonts w:ascii="Georgia" w:cs="Georgia" w:eastAsia="Georgia" w:hAnsi="Georgia"/>
          <w:color w:val="3a3a3a"/>
          <w:sz w:val="24"/>
          <w:szCs w:val="24"/>
        </w:rPr>
        <w:t xml:space="preserve">Home equity is the primary wealth-building vehicle for working Americans. The average home appreciates at approximately 3.5–4.5% annually. But homes in historically redlined neighborhoods appreciate 20–40% less than comparable homes in non-redlined neighborhoods (National Community Reinvestment Coalition, 2018).</w:t>
      </w:r>
    </w:p>
    <w:p>
      <w:pPr>
        <w:spacing w:after="200" w:before="0" w:line="312"/>
        <w:jc w:val="both"/>
      </w:pPr>
      <w:r>
        <w:rPr>
          <w:rFonts w:ascii="Georgia" w:cs="Georgia" w:eastAsia="Georgia" w:hAnsi="Georgia"/>
          <w:color w:val="3a3a3a"/>
          <w:sz w:val="24"/>
          <w:szCs w:val="24"/>
        </w:rPr>
        <w:t xml:space="preserve">A home purchased for $10,000 in 1950 (typical for a Levittown-style suburban home) appreciating at 4% for 75 years is worth approximately $190,000 by 2025. The same home in a redlined neighborhood, appreciating at 2.5%, is worth approximately $63,000. Same house. Same maintenance. Different zip code. 3:1 wealth difference from one variable.</w:t>
      </w:r>
    </w:p>
    <w:p>
      <w:pPr>
        <w:pStyle w:val="Heading2"/>
        <w:spacing w:after="200" w:before="280"/>
      </w:pPr>
      <w:r>
        <w:rPr>
          <w:rFonts w:ascii="Georgia" w:cs="Georgia" w:eastAsia="Georgia" w:hAnsi="Georgia"/>
          <w:b/>
          <w:bCs/>
          <w:color w:val="1a1a1a"/>
          <w:sz w:val="30"/>
          <w:szCs w:val="30"/>
        </w:rPr>
        <w:t xml:space="preserve">23.3 — The Cumulative Calculation</w:t>
      </w:r>
    </w:p>
    <w:p>
      <w:pPr>
        <w:spacing w:after="200" w:before="0" w:line="312"/>
        <w:jc w:val="both"/>
      </w:pPr>
      <w:r>
        <w:rPr>
          <w:rFonts w:ascii="Georgia" w:cs="Georgia" w:eastAsia="Georgia" w:hAnsi="Georgia"/>
          <w:color w:val="3a3a3a"/>
          <w:sz w:val="24"/>
          <w:szCs w:val="24"/>
        </w:rPr>
        <w:t xml:space="preserve">When you combine:</w:t>
      </w:r>
    </w:p>
    <w:p>
      <w:pPr>
        <w:spacing w:after="60" w:before="0" w:line="312"/>
        <w:jc w:val="both"/>
      </w:pPr>
      <w:r>
        <w:rPr>
          <w:rFonts w:ascii="Georgia" w:cs="Georgia" w:eastAsia="Georgia" w:hAnsi="Georgia"/>
          <w:b/>
          <w:bCs/>
          <w:color w:val="3a3a3a"/>
          <w:sz w:val="24"/>
          <w:szCs w:val="24"/>
        </w:rPr>
        <w:t xml:space="preserve">Income gap: </w:t>
      </w:r>
      <w:r>
        <w:rPr>
          <w:rFonts w:ascii="Georgia" w:cs="Georgia" w:eastAsia="Georgia" w:hAnsi="Georgia"/>
          <w:color w:val="3a3a3a"/>
          <w:sz w:val="24"/>
          <w:szCs w:val="24"/>
        </w:rPr>
        <w:t xml:space="preserve">60–65 cents on the dollar, sustained for 95 years</w:t>
      </w:r>
    </w:p>
    <w:p>
      <w:pPr>
        <w:spacing w:after="60" w:before="0" w:line="312"/>
        <w:jc w:val="both"/>
      </w:pPr>
      <w:r>
        <w:rPr>
          <w:rFonts w:ascii="Georgia" w:cs="Georgia" w:eastAsia="Georgia" w:hAnsi="Georgia"/>
          <w:b/>
          <w:bCs/>
          <w:color w:val="3a3a3a"/>
          <w:sz w:val="24"/>
          <w:szCs w:val="24"/>
        </w:rPr>
        <w:t xml:space="preserve">Homeownership exclusion: </w:t>
      </w:r>
      <w:r>
        <w:rPr>
          <w:rFonts w:ascii="Georgia" w:cs="Georgia" w:eastAsia="Georgia" w:hAnsi="Georgia"/>
          <w:color w:val="3a3a3a"/>
          <w:sz w:val="24"/>
          <w:szCs w:val="24"/>
        </w:rPr>
        <w:t xml:space="preserve">25–30 point gap, sustained for 90 years</w:t>
      </w:r>
    </w:p>
    <w:p>
      <w:pPr>
        <w:spacing w:after="60" w:before="0" w:line="312"/>
        <w:jc w:val="both"/>
      </w:pPr>
      <w:r>
        <w:rPr>
          <w:rFonts w:ascii="Georgia" w:cs="Georgia" w:eastAsia="Georgia" w:hAnsi="Georgia"/>
          <w:b/>
          <w:bCs/>
          <w:color w:val="3a3a3a"/>
          <w:sz w:val="24"/>
          <w:szCs w:val="24"/>
        </w:rPr>
        <w:t xml:space="preserve">Home appreciation gap: </w:t>
      </w:r>
      <w:r>
        <w:rPr>
          <w:rFonts w:ascii="Georgia" w:cs="Georgia" w:eastAsia="Georgia" w:hAnsi="Georgia"/>
          <w:color w:val="3a3a3a"/>
          <w:sz w:val="24"/>
          <w:szCs w:val="24"/>
        </w:rPr>
        <w:t xml:space="preserve">20–40% lower returns in segregated neighborhoods, sustained for 90 years</w:t>
      </w:r>
    </w:p>
    <w:p>
      <w:pPr>
        <w:spacing w:after="60" w:before="0" w:line="312"/>
        <w:jc w:val="both"/>
      </w:pPr>
      <w:r>
        <w:rPr>
          <w:rFonts w:ascii="Georgia" w:cs="Georgia" w:eastAsia="Georgia" w:hAnsi="Georgia"/>
          <w:b/>
          <w:bCs/>
          <w:color w:val="3a3a3a"/>
          <w:sz w:val="24"/>
          <w:szCs w:val="24"/>
        </w:rPr>
        <w:t xml:space="preserve">Social Security exclusion: </w:t>
      </w:r>
      <w:r>
        <w:rPr>
          <w:rFonts w:ascii="Georgia" w:cs="Georgia" w:eastAsia="Georgia" w:hAnsi="Georgia"/>
          <w:color w:val="3a3a3a"/>
          <w:sz w:val="24"/>
          <w:szCs w:val="24"/>
        </w:rPr>
        <w:t xml:space="preserve">15–19 years of zero contributions for 60% of Black workers</w:t>
      </w:r>
    </w:p>
    <w:p>
      <w:pPr>
        <w:spacing w:after="60" w:before="0" w:line="312"/>
        <w:jc w:val="both"/>
      </w:pPr>
      <w:r>
        <w:rPr>
          <w:rFonts w:ascii="Georgia" w:cs="Georgia" w:eastAsia="Georgia" w:hAnsi="Georgia"/>
          <w:b/>
          <w:bCs/>
          <w:color w:val="3a3a3a"/>
          <w:sz w:val="24"/>
          <w:szCs w:val="24"/>
        </w:rPr>
        <w:t xml:space="preserve">GI Bill exclusion: </w:t>
      </w:r>
      <w:r>
        <w:rPr>
          <w:rFonts w:ascii="Georgia" w:cs="Georgia" w:eastAsia="Georgia" w:hAnsi="Georgia"/>
          <w:color w:val="3a3a3a"/>
          <w:sz w:val="24"/>
          <w:szCs w:val="24"/>
        </w:rPr>
        <w:t xml:space="preserve">7.8 million white veterans educated and housed; negligible Black participation</w:t>
      </w:r>
    </w:p>
    <w:p>
      <w:pPr>
        <w:spacing w:after="60" w:before="0" w:line="312"/>
        <w:jc w:val="both"/>
      </w:pPr>
      <w:r>
        <w:rPr>
          <w:rFonts w:ascii="Georgia" w:cs="Georgia" w:eastAsia="Georgia" w:hAnsi="Georgia"/>
          <w:b/>
          <w:bCs/>
          <w:color w:val="3a3a3a"/>
          <w:sz w:val="24"/>
          <w:szCs w:val="24"/>
        </w:rPr>
        <w:t xml:space="preserve">Mass incarceration: </w:t>
      </w:r>
      <w:r>
        <w:rPr>
          <w:rFonts w:ascii="Georgia" w:cs="Georgia" w:eastAsia="Georgia" w:hAnsi="Georgia"/>
          <w:color w:val="3a3a3a"/>
          <w:sz w:val="24"/>
          <w:szCs w:val="24"/>
        </w:rPr>
        <w:t xml:space="preserve">40% lifetime earnings reduction for affected individuals, disproportionately Black</w:t>
      </w:r>
    </w:p>
    <w:p>
      <w:pPr>
        <w:spacing w:after="200" w:before="0" w:line="312"/>
        <w:jc w:val="both"/>
      </w:pPr>
      <w:r>
        <w:rPr>
          <w:rFonts w:ascii="Georgia" w:cs="Georgia" w:eastAsia="Georgia" w:hAnsi="Georgia"/>
          <w:b/>
          <w:bCs/>
          <w:color w:val="3a3a3a"/>
          <w:sz w:val="24"/>
          <w:szCs w:val="24"/>
        </w:rPr>
        <w:t xml:space="preserve">Subprime targeting: </w:t>
      </w:r>
      <w:r>
        <w:rPr>
          <w:rFonts w:ascii="Georgia" w:cs="Georgia" w:eastAsia="Georgia" w:hAnsi="Georgia"/>
          <w:color w:val="3a3a3a"/>
          <w:sz w:val="24"/>
          <w:szCs w:val="24"/>
        </w:rPr>
        <w:t xml:space="preserve">70% Black wealth destruction in 2007–2010</w:t>
      </w:r>
    </w:p>
    <w:p>
      <w:pPr>
        <w:spacing w:after="200" w:before="0" w:line="312"/>
        <w:jc w:val="both"/>
      </w:pPr>
      <w:r>
        <w:rPr>
          <w:rFonts w:ascii="Georgia" w:cs="Georgia" w:eastAsia="Georgia" w:hAnsi="Georgia"/>
          <w:color w:val="3a3a3a"/>
          <w:sz w:val="24"/>
          <w:szCs w:val="24"/>
        </w:rPr>
        <w:t xml:space="preserve">The 6.3:1 wealth ratio is not a mystery. It is the mathematically predictable outcome of these inputs. You could build a spreadsheet with these variables and reproduce the ratio within an order of magnitude. The gap is arithmetic.</w:t>
      </w:r>
    </w:p>
    <w:p>
      <w:r>
        <w:br w:type="page"/>
      </w:r>
    </w:p>
    <w:p>
      <w:pPr>
        <w:pStyle w:val="Heading1"/>
        <w:spacing w:after="240" w:before="360"/>
      </w:pPr>
      <w:r>
        <w:rPr>
          <w:rFonts w:ascii="Georgia" w:cs="Georgia" w:eastAsia="Georgia" w:hAnsi="Georgia"/>
          <w:b/>
          <w:bCs/>
          <w:color w:val="1a1a1a"/>
          <w:sz w:val="36"/>
          <w:szCs w:val="36"/>
        </w:rPr>
        <w:t xml:space="preserve">Chapter 24: What Closing the Gap Would Actually Require</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racial wealth gap in 2022 represented approximately $14.5 trillion — the difference between aggregate white household wealth and what aggregate Black household wealth would be if Black families held the same median wealth as white families (Federal Reserve data, author calculation).</w:t>
      </w:r>
    </w:p>
    <w:p>
      <w:pPr>
        <w:pStyle w:val="Heading2"/>
        <w:spacing w:after="200" w:before="280"/>
      </w:pPr>
      <w:r>
        <w:rPr>
          <w:rFonts w:ascii="Georgia" w:cs="Georgia" w:eastAsia="Georgia" w:hAnsi="Georgia"/>
          <w:b/>
          <w:bCs/>
          <w:color w:val="1a1a1a"/>
          <w:sz w:val="30"/>
          <w:szCs w:val="30"/>
        </w:rPr>
        <w:t xml:space="preserve">24.1 — The Time-Only Scenario</w:t>
      </w:r>
    </w:p>
    <w:p>
      <w:pPr>
        <w:spacing w:after="200" w:before="0" w:line="312"/>
        <w:jc w:val="both"/>
      </w:pPr>
      <w:r>
        <w:rPr>
          <w:rFonts w:ascii="Georgia" w:cs="Georgia" w:eastAsia="Georgia" w:hAnsi="Georgia"/>
          <w:color w:val="3a3a3a"/>
          <w:sz w:val="24"/>
          <w:szCs w:val="24"/>
        </w:rPr>
        <w:t xml:space="preserve">If the wealth gap narrows at the rate it has narrowed since 1989 (approximately 0.3 percentage points per year), racial wealth parity will be reached in approximately 2270 — 244 years from now. This is not a misprint. At the current rate of convergence, the wealth gap will close in the year two thousand two hundred and seventy.</w:t>
      </w:r>
    </w:p>
    <w:p>
      <w:pPr>
        <w:pStyle w:val="Heading2"/>
        <w:spacing w:after="200" w:before="280"/>
      </w:pPr>
      <w:r>
        <w:rPr>
          <w:rFonts w:ascii="Georgia" w:cs="Georgia" w:eastAsia="Georgia" w:hAnsi="Georgia"/>
          <w:b/>
          <w:bCs/>
          <w:color w:val="1a1a1a"/>
          <w:sz w:val="30"/>
          <w:szCs w:val="30"/>
        </w:rPr>
        <w:t xml:space="preserve">24.2 — The Policy Scenarios</w:t>
      </w:r>
    </w:p>
    <w:p>
      <w:pPr>
        <w:spacing w:after="120" w:before="0" w:line="312"/>
        <w:jc w:val="both"/>
      </w:pPr>
      <w:r>
        <w:rPr>
          <w:rFonts w:ascii="Georgia" w:cs="Georgia" w:eastAsia="Georgia" w:hAnsi="Georgia"/>
          <w:b/>
          <w:bCs/>
          <w:color w:val="3a3a3a"/>
          <w:sz w:val="24"/>
          <w:szCs w:val="24"/>
        </w:rPr>
        <w:t xml:space="preserve">Baby bonds: </w:t>
      </w:r>
      <w:r>
        <w:rPr>
          <w:rFonts w:ascii="Georgia" w:cs="Georgia" w:eastAsia="Georgia" w:hAnsi="Georgia"/>
          <w:color w:val="3a3a3a"/>
          <w:sz w:val="24"/>
          <w:szCs w:val="24"/>
        </w:rPr>
        <w:t xml:space="preserve">Senator Cory Booker’s ASPIRE Act proposed $1,000 at birth plus annual contributions up to $2,000 for low-wealth families. Economists Darrick Hamilton and William Darity estimated this would reduce the racial wealth gap by 60–70% within one generation (approximately 30 years). Cost: $60–80 billion per year.</w:t>
      </w:r>
    </w:p>
    <w:p>
      <w:pPr>
        <w:spacing w:after="120" w:before="0" w:line="312"/>
        <w:jc w:val="both"/>
      </w:pPr>
      <w:r>
        <w:rPr>
          <w:rFonts w:ascii="Georgia" w:cs="Georgia" w:eastAsia="Georgia" w:hAnsi="Georgia"/>
          <w:b/>
          <w:bCs/>
          <w:color w:val="3a3a3a"/>
          <w:sz w:val="24"/>
          <w:szCs w:val="24"/>
        </w:rPr>
        <w:t xml:space="preserve">Reparations: </w:t>
      </w:r>
      <w:r>
        <w:rPr>
          <w:rFonts w:ascii="Georgia" w:cs="Georgia" w:eastAsia="Georgia" w:hAnsi="Georgia"/>
          <w:color w:val="3a3a3a"/>
          <w:sz w:val="24"/>
          <w:szCs w:val="24"/>
        </w:rPr>
        <w:t xml:space="preserve">HR 40, the Commission to Study Reparation Proposals, has been introduced in every Congress since 1989. William Darity and A. Kirsten Mullen estimated the cost of closing the Black-white wealth gap through direct payments at $10–14 trillion. This is approximately equal to the combined 2024 revenue of the federal government for two years.</w:t>
      </w:r>
    </w:p>
    <w:p>
      <w:pPr>
        <w:spacing w:after="120" w:before="0" w:line="312"/>
        <w:jc w:val="both"/>
      </w:pPr>
      <w:r>
        <w:rPr>
          <w:rFonts w:ascii="Georgia" w:cs="Georgia" w:eastAsia="Georgia" w:hAnsi="Georgia"/>
          <w:b/>
          <w:bCs/>
          <w:color w:val="3a3a3a"/>
          <w:sz w:val="24"/>
          <w:szCs w:val="24"/>
        </w:rPr>
        <w:t xml:space="preserve">Homeownership expansion: </w:t>
      </w:r>
      <w:r>
        <w:rPr>
          <w:rFonts w:ascii="Georgia" w:cs="Georgia" w:eastAsia="Georgia" w:hAnsi="Georgia"/>
          <w:color w:val="3a3a3a"/>
          <w:sz w:val="24"/>
          <w:szCs w:val="24"/>
        </w:rPr>
        <w:t xml:space="preserve">A modern equivalent of the FHA — but administered without discrimination — could increase Black homeownership from 44% to 60–65% within 15 years. At current median home values, this would add approximately $2–3 trillion to Black household wealth. Cost: approximately $200–300 billion in loan guarantees.</w:t>
      </w:r>
    </w:p>
    <w:p>
      <w:pPr>
        <w:spacing w:after="200" w:before="0" w:line="312"/>
        <w:jc w:val="both"/>
      </w:pPr>
      <w:r>
        <w:rPr>
          <w:rFonts w:ascii="Georgia" w:cs="Georgia" w:eastAsia="Georgia" w:hAnsi="Georgia"/>
          <w:b/>
          <w:bCs/>
          <w:color w:val="3a3a3a"/>
          <w:sz w:val="24"/>
          <w:szCs w:val="24"/>
        </w:rPr>
        <w:t xml:space="preserve">Current trajectory: </w:t>
      </w:r>
      <w:r>
        <w:rPr>
          <w:rFonts w:ascii="Georgia" w:cs="Georgia" w:eastAsia="Georgia" w:hAnsi="Georgia"/>
          <w:color w:val="3a3a3a"/>
          <w:sz w:val="24"/>
          <w:szCs w:val="24"/>
        </w:rPr>
        <w:t xml:space="preserve">Do nothing. Wait 244 years. The gap closes by 2270. Your great-great-great-great-great-great-great-grandchildren will live in a country with racial wealth parity.</w:t>
      </w:r>
    </w:p>
    <w:p>
      <w:pPr>
        <w:pStyle w:val="Heading2"/>
        <w:spacing w:after="200" w:before="280"/>
      </w:pPr>
      <w:r>
        <w:rPr>
          <w:rFonts w:ascii="Georgia" w:cs="Georgia" w:eastAsia="Georgia" w:hAnsi="Georgia"/>
          <w:b/>
          <w:bCs/>
          <w:color w:val="1a1a1a"/>
          <w:sz w:val="30"/>
          <w:szCs w:val="30"/>
        </w:rPr>
        <w:t xml:space="preserve">24.3 — The Real Question</w:t>
      </w:r>
    </w:p>
    <w:p>
      <w:pPr>
        <w:spacing w:after="200" w:before="0" w:line="312"/>
        <w:jc w:val="both"/>
      </w:pPr>
      <w:r>
        <w:rPr>
          <w:rFonts w:ascii="Georgia" w:cs="Georgia" w:eastAsia="Georgia" w:hAnsi="Georgia"/>
          <w:color w:val="3a3a3a"/>
          <w:sz w:val="24"/>
          <w:szCs w:val="24"/>
        </w:rPr>
        <w:t xml:space="preserve">The question is not whether the gap can be closed. The mechanisms exist. The question is whether the political will exists to deploy them at the scale required. The New Deal deployed federal resources at scale for white wealth creation. The GI Bill deployed federal resources at scale for white education and homeownership. The federal government has demonstrated that it can build a middle class in a single generation when it chooses to.</w:t>
      </w:r>
    </w:p>
    <w:p>
      <w:pPr>
        <w:spacing w:after="200" w:before="0" w:line="312"/>
        <w:jc w:val="both"/>
      </w:pPr>
      <w:r>
        <w:rPr>
          <w:rFonts w:ascii="Georgia" w:cs="Georgia" w:eastAsia="Georgia" w:hAnsi="Georgia"/>
          <w:color w:val="3a3a3a"/>
          <w:sz w:val="24"/>
          <w:szCs w:val="24"/>
        </w:rPr>
        <w:t xml:space="preserve">It chose to build a white middle class. The question for the next century is whether it will choose to extend that same investment to everyone.</w:t>
      </w:r>
    </w:p>
    <w:p>
      <w:pPr>
        <w:spacing w:after="200" w:before="0" w:line="312"/>
        <w:jc w:val="both"/>
      </w:pPr>
      <w:r>
        <w:rPr>
          <w:rFonts w:ascii="Georgia" w:cs="Georgia" w:eastAsia="Georgia" w:hAnsi="Georgia"/>
          <w:b/>
          <w:bCs/>
          <w:color w:val="3a3a3a"/>
          <w:sz w:val="24"/>
          <w:szCs w:val="24"/>
        </w:rPr>
        <w:t xml:space="preserve">The gap is not a mystery. It is arithmetic. And arithmetic has solutions. The question is whether the country wants to do the math.</w:t>
      </w:r>
    </w:p>
    <w:p>
      <w:r>
        <w:br w:type="page"/>
      </w:r>
    </w:p>
    <w:p>
      <w:pPr>
        <w:spacing w:after="0" w:before="2000"/>
      </w:pPr>
    </w:p>
    <w:p>
      <w:pPr>
        <w:spacing w:after="200" w:before="0" w:line="312"/>
        <w:jc w:val="center"/>
      </w:pPr>
      <w:r>
        <w:rPr>
          <w:rFonts w:ascii="Arial" w:cs="Arial" w:eastAsia="Arial" w:hAnsi="Arial"/>
          <w:b/>
          <w:bCs/>
          <w:color w:val="1a1a1a"/>
          <w:sz w:val="40"/>
          <w:szCs w:val="40"/>
        </w:rPr>
        <w:t xml:space="preserve">APPENDICES</w:t>
      </w:r>
    </w:p>
    <w:p>
      <w:pPr>
        <w:pBdr>
          <w:bottom w:val="single" w:color="5b2c20" w:sz="4" w:space="1"/>
        </w:pBdr>
        <w:spacing w:after="200" w:before="200"/>
      </w:pPr>
    </w:p>
    <w:p>
      <w:r>
        <w:br w:type="page"/>
      </w:r>
    </w:p>
    <w:p>
      <w:pPr>
        <w:pStyle w:val="Heading1"/>
        <w:spacing w:after="240" w:before="360"/>
      </w:pPr>
      <w:r>
        <w:rPr>
          <w:rFonts w:ascii="Georgia" w:cs="Georgia" w:eastAsia="Georgia" w:hAnsi="Georgia"/>
          <w:b/>
          <w:bCs/>
          <w:color w:val="1a1a1a"/>
          <w:sz w:val="36"/>
          <w:szCs w:val="36"/>
        </w:rPr>
        <w:t xml:space="preserve">Appendix A: Wage Gap Data Tables (1940–2025)</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Black/White Median Household Income Ratio: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1200"/>
        <w:gridCol w:w="1500"/>
        <w:gridCol w:w="1460"/>
      </w:tblGrid>
      <w:tr>
        <w:tc>
          <w:tcPr>
            <w:tcW w:type="dxa" w:w="1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4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w:t>
            </w:r>
          </w:p>
        </w:tc>
        <w:tc>
          <w:tcPr>
            <w:tcW w:type="dxa" w:w="14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w:t>
            </w:r>
          </w:p>
        </w:tc>
        <w:tc>
          <w:tcPr>
            <w:tcW w:type="dxa" w:w="1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W/M</w:t>
            </w:r>
          </w:p>
        </w:tc>
        <w:tc>
          <w:tcPr>
            <w:tcW w:type="dxa" w:w="1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BW/WM</w:t>
            </w:r>
          </w:p>
        </w:tc>
        <w:tc>
          <w:tcPr>
            <w:tcW w:type="dxa" w:w="14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HW/WM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1940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$1,112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$460</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1950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$3,445</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$1,869</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54%</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1960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$5,835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$3,233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1970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$10,236</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$6,279</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61%</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59%</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c>
          <w:tcPr>
            <w:tcW w:type="dxa" w:w="1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N/A</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1980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$21,904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$12,674</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58%</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56¢</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49¢</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1990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$31,231</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$18,676</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72%</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62¢</w:t>
            </w:r>
          </w:p>
        </w:tc>
        <w:tc>
          <w:tcPr>
            <w:tcW w:type="dxa" w:w="1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53¢</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$45,904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$30,439</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65¢</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53¢</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2010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$54,620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$32,068</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59%</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77%</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64¢</w:t>
            </w:r>
          </w:p>
        </w:tc>
        <w:tc>
          <w:tcPr>
            <w:tcW w:type="dxa" w:w="1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55¢</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2019</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$76,057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$46,073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82%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66¢</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57¢</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2024</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$81,060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$52,860</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65%</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84%</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69¢</w:t>
            </w:r>
          </w:p>
        </w:tc>
        <w:tc>
          <w:tcPr>
            <w:tcW w:type="dxa" w:w="1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57¢</w:t>
            </w:r>
          </w:p>
        </w:tc>
      </w:tr>
    </w:tbl>
    <w:p>
      <w:pPr>
        <w:spacing w:after="0" w:before="100"/>
      </w:pPr>
    </w:p>
    <w:p>
      <w:pPr>
        <w:spacing w:after="200" w:before="0" w:line="312"/>
        <w:jc w:val="both"/>
      </w:pPr>
      <w:r>
        <w:rPr>
          <w:rFonts w:ascii="Georgia" w:cs="Georgia" w:eastAsia="Georgia" w:hAnsi="Georgia"/>
          <w:color w:val="777777"/>
          <w:sz w:val="20"/>
          <w:szCs w:val="20"/>
        </w:rPr>
        <w:t xml:space="preserve">Sources: Census Bureau Historical Income Tables (Table H-5), BLS Current Population Survey. W/M = Women/Men earnings ratio. BW/WM = Black women per white male dollar. HW/WM = Hispanic women per white male dollar. Nominal dollars except ratios.</w:t>
      </w:r>
    </w:p>
    <w:p>
      <w:r>
        <w:br w:type="page"/>
      </w:r>
    </w:p>
    <w:p>
      <w:pPr>
        <w:pStyle w:val="Heading1"/>
        <w:spacing w:after="240" w:before="360"/>
      </w:pPr>
      <w:r>
        <w:rPr>
          <w:rFonts w:ascii="Georgia" w:cs="Georgia" w:eastAsia="Georgia" w:hAnsi="Georgia"/>
          <w:b/>
          <w:bCs/>
          <w:color w:val="1a1a1a"/>
          <w:sz w:val="36"/>
          <w:szCs w:val="36"/>
        </w:rPr>
        <w:t xml:space="preserve">Appendix B: Wealth Gap Data Tables (1940–2025)</w:t>
      </w:r>
    </w:p>
    <w:p>
      <w:pPr>
        <w:pBdr>
          <w:bottom w:val="single" w:color="5b2c2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1800"/>
        <w:gridCol w:w="1860"/>
      </w:tblGrid>
      <w:tr>
        <w:tc>
          <w:tcPr>
            <w:tcW w:type="dxa" w:w="13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 Median</w:t>
            </w:r>
          </w:p>
        </w:tc>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 Median</w:t>
            </w:r>
          </w:p>
        </w:tc>
        <w:tc>
          <w:tcPr>
            <w:tcW w:type="dxa" w:w="18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8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1989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$95,000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$5,200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18.3:1</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1998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$103,400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$10,700</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9.7:1</w:t>
            </w:r>
          </w:p>
        </w:tc>
        <w:tc>
          <w:tcPr>
            <w:tcW w:type="dxa" w:w="1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2007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$192,500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$19,200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10.0:1</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2010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$113,149</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$5,677</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19.9:1</w:t>
            </w:r>
          </w:p>
        </w:tc>
        <w:tc>
          <w:tcPr>
            <w:tcW w:type="dxa" w:w="1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$171,000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$17,600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9.7:1</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2019</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$188,200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$24,100</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7.8:1</w:t>
            </w:r>
          </w:p>
        </w:tc>
        <w:tc>
          <w:tcPr>
            <w:tcW w:type="dxa" w:w="1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SCF</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2022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$285,000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$44,900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6.3:1</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SCF</w:t>
            </w:r>
          </w:p>
        </w:tc>
      </w:tr>
    </w:tbl>
    <w:p>
      <w:pPr>
        <w:spacing w:after="0" w:before="100"/>
      </w:pPr>
    </w:p>
    <w:p>
      <w:pPr>
        <w:spacing w:after="200" w:before="0" w:line="312"/>
        <w:jc w:val="both"/>
      </w:pPr>
      <w:r>
        <w:rPr>
          <w:rFonts w:ascii="Georgia" w:cs="Georgia" w:eastAsia="Georgia" w:hAnsi="Georgia"/>
          <w:color w:val="777777"/>
          <w:sz w:val="20"/>
          <w:szCs w:val="20"/>
        </w:rPr>
        <w:t xml:space="preserve">Source: Federal Reserve Survey of Consumer Finances (SCF), conducted triennially. All figures in nominal dollars of the survey year. SCF is the gold standard for household wealth measurement in the United States.</w:t>
      </w:r>
    </w:p>
    <w:p>
      <w:r>
        <w:br w:type="page"/>
      </w:r>
    </w:p>
    <w:p>
      <w:pPr>
        <w:pStyle w:val="Heading1"/>
        <w:spacing w:after="240" w:before="360"/>
      </w:pPr>
      <w:r>
        <w:rPr>
          <w:rFonts w:ascii="Georgia" w:cs="Georgia" w:eastAsia="Georgia" w:hAnsi="Georgia"/>
          <w:b/>
          <w:bCs/>
          <w:color w:val="1a1a1a"/>
          <w:sz w:val="36"/>
          <w:szCs w:val="36"/>
        </w:rPr>
        <w:t xml:space="preserve">Appendix C: Key Legislation Timeline</w:t>
      </w:r>
    </w:p>
    <w:p>
      <w:pPr>
        <w:pBdr>
          <w:bottom w:val="single" w:color="5b2c20" w:sz="4" w:space="1"/>
        </w:pBdr>
        <w:spacing w:after="200" w:before="200"/>
      </w:pPr>
    </w:p>
    <w:p>
      <w:pPr>
        <w:spacing w:after="60" w:before="0" w:line="312"/>
        <w:jc w:val="both"/>
      </w:pPr>
      <w:r>
        <w:rPr>
          <w:rFonts w:ascii="Georgia" w:cs="Georgia" w:eastAsia="Georgia" w:hAnsi="Georgia"/>
          <w:color w:val="3a3a3a"/>
          <w:sz w:val="20"/>
          <w:szCs w:val="20"/>
        </w:rPr>
        <w:t xml:space="preserve">1931 — Davis-Bacon Act: Prevailing wage requirement excludes non-union (Black) construction workers.</w:t>
      </w:r>
    </w:p>
    <w:p>
      <w:pPr>
        <w:spacing w:after="60" w:before="0" w:line="312"/>
        <w:jc w:val="both"/>
      </w:pPr>
      <w:r>
        <w:rPr>
          <w:rFonts w:ascii="Georgia" w:cs="Georgia" w:eastAsia="Georgia" w:hAnsi="Georgia"/>
          <w:color w:val="3a3a3a"/>
          <w:sz w:val="20"/>
          <w:szCs w:val="20"/>
        </w:rPr>
        <w:t xml:space="preserve">1933 — HOLC created: Residential security maps developed. Redlining begins.</w:t>
      </w:r>
    </w:p>
    <w:p>
      <w:pPr>
        <w:spacing w:after="60" w:before="0" w:line="312"/>
        <w:jc w:val="both"/>
      </w:pPr>
      <w:r>
        <w:rPr>
          <w:rFonts w:ascii="Georgia" w:cs="Georgia" w:eastAsia="Georgia" w:hAnsi="Georgia"/>
          <w:color w:val="3a3a3a"/>
          <w:sz w:val="20"/>
          <w:szCs w:val="20"/>
        </w:rPr>
        <w:t xml:space="preserve">1934 — FHA created: Mortgage insurance with racial exclusion. Underwriting Manual recommends restrictive covenants.</w:t>
      </w:r>
    </w:p>
    <w:p>
      <w:pPr>
        <w:spacing w:after="60" w:before="0" w:line="312"/>
        <w:jc w:val="both"/>
      </w:pPr>
      <w:r>
        <w:rPr>
          <w:rFonts w:ascii="Georgia" w:cs="Georgia" w:eastAsia="Georgia" w:hAnsi="Georgia"/>
          <w:color w:val="3a3a3a"/>
          <w:sz w:val="20"/>
          <w:szCs w:val="20"/>
        </w:rPr>
        <w:t xml:space="preserve">1935 — Social Security Act: Excludes agricultural and domestic workers (60% of Black workforce).</w:t>
      </w:r>
    </w:p>
    <w:p>
      <w:pPr>
        <w:spacing w:after="60" w:before="0" w:line="312"/>
        <w:jc w:val="both"/>
      </w:pPr>
      <w:r>
        <w:rPr>
          <w:rFonts w:ascii="Georgia" w:cs="Georgia" w:eastAsia="Georgia" w:hAnsi="Georgia"/>
          <w:color w:val="3a3a3a"/>
          <w:sz w:val="20"/>
          <w:szCs w:val="20"/>
        </w:rPr>
        <w:t xml:space="preserve">1935 — Wagner Act: Collective bargaining rights exclude agricultural and domestic workers.</w:t>
      </w:r>
    </w:p>
    <w:p>
      <w:pPr>
        <w:spacing w:after="60" w:before="0" w:line="312"/>
        <w:jc w:val="both"/>
      </w:pPr>
      <w:r>
        <w:rPr>
          <w:rFonts w:ascii="Georgia" w:cs="Georgia" w:eastAsia="Georgia" w:hAnsi="Georgia"/>
          <w:color w:val="3a3a3a"/>
          <w:sz w:val="20"/>
          <w:szCs w:val="20"/>
        </w:rPr>
        <w:t xml:space="preserve">1938 — Fair Labor Standards Act: Minimum wage excludes agricultural and domestic workers.</w:t>
      </w:r>
    </w:p>
    <w:p>
      <w:pPr>
        <w:spacing w:after="60" w:before="0" w:line="312"/>
        <w:jc w:val="both"/>
      </w:pPr>
      <w:r>
        <w:rPr>
          <w:rFonts w:ascii="Georgia" w:cs="Georgia" w:eastAsia="Georgia" w:hAnsi="Georgia"/>
          <w:color w:val="3a3a3a"/>
          <w:sz w:val="20"/>
          <w:szCs w:val="20"/>
        </w:rPr>
        <w:t xml:space="preserve">1941 — Executive Order 8802: Prohibits discrimination in defense industries.</w:t>
      </w:r>
    </w:p>
    <w:p>
      <w:pPr>
        <w:spacing w:after="60" w:before="0" w:line="312"/>
        <w:jc w:val="both"/>
      </w:pPr>
      <w:r>
        <w:rPr>
          <w:rFonts w:ascii="Georgia" w:cs="Georgia" w:eastAsia="Georgia" w:hAnsi="Georgia"/>
          <w:color w:val="3a3a3a"/>
          <w:sz w:val="20"/>
          <w:szCs w:val="20"/>
        </w:rPr>
        <w:t xml:space="preserve">1944 — GI Bill: Race-neutral law, discriminatory administration.</w:t>
      </w:r>
    </w:p>
    <w:p>
      <w:pPr>
        <w:spacing w:after="60" w:before="0" w:line="312"/>
        <w:jc w:val="both"/>
      </w:pPr>
      <w:r>
        <w:rPr>
          <w:rFonts w:ascii="Georgia" w:cs="Georgia" w:eastAsia="Georgia" w:hAnsi="Georgia"/>
          <w:color w:val="3a3a3a"/>
          <w:sz w:val="20"/>
          <w:szCs w:val="20"/>
        </w:rPr>
        <w:t xml:space="preserve">1948 — Shelley v. Kraemer: Supreme Court rules restrictive covenants unenforceable. FHA continues to use them.</w:t>
      </w:r>
    </w:p>
    <w:p>
      <w:pPr>
        <w:spacing w:after="60" w:before="0" w:line="312"/>
        <w:jc w:val="both"/>
      </w:pPr>
      <w:r>
        <w:rPr>
          <w:rFonts w:ascii="Georgia" w:cs="Georgia" w:eastAsia="Georgia" w:hAnsi="Georgia"/>
          <w:color w:val="3a3a3a"/>
          <w:sz w:val="20"/>
          <w:szCs w:val="20"/>
        </w:rPr>
        <w:t xml:space="preserve">1950 — Social Security extended to domestic workers.</w:t>
      </w:r>
    </w:p>
    <w:p>
      <w:pPr>
        <w:spacing w:after="60" w:before="0" w:line="312"/>
        <w:jc w:val="both"/>
      </w:pPr>
      <w:r>
        <w:rPr>
          <w:rFonts w:ascii="Georgia" w:cs="Georgia" w:eastAsia="Georgia" w:hAnsi="Georgia"/>
          <w:color w:val="3a3a3a"/>
          <w:sz w:val="20"/>
          <w:szCs w:val="20"/>
        </w:rPr>
        <w:t xml:space="preserve">1954 — Brown v. Board of Education: School segregation unconstitutional. Social Security extended to agricultural workers.</w:t>
      </w:r>
    </w:p>
    <w:p>
      <w:pPr>
        <w:spacing w:after="60" w:before="0" w:line="312"/>
        <w:jc w:val="both"/>
      </w:pPr>
      <w:r>
        <w:rPr>
          <w:rFonts w:ascii="Georgia" w:cs="Georgia" w:eastAsia="Georgia" w:hAnsi="Georgia"/>
          <w:color w:val="3a3a3a"/>
          <w:sz w:val="20"/>
          <w:szCs w:val="20"/>
        </w:rPr>
        <w:t xml:space="preserve">1963 — Equal Pay Act: Prohibits gender wage discrimination for equal work.</w:t>
      </w:r>
    </w:p>
    <w:p>
      <w:pPr>
        <w:spacing w:after="60" w:before="0" w:line="312"/>
        <w:jc w:val="both"/>
      </w:pPr>
      <w:r>
        <w:rPr>
          <w:rFonts w:ascii="Georgia" w:cs="Georgia" w:eastAsia="Georgia" w:hAnsi="Georgia"/>
          <w:color w:val="3a3a3a"/>
          <w:sz w:val="20"/>
          <w:szCs w:val="20"/>
        </w:rPr>
        <w:t xml:space="preserve">1964 — Civil Rights Act (Title VII): Prohibits employment discrimination. EEOC created.</w:t>
      </w:r>
    </w:p>
    <w:p>
      <w:pPr>
        <w:spacing w:after="60" w:before="0" w:line="312"/>
        <w:jc w:val="both"/>
      </w:pPr>
      <w:r>
        <w:rPr>
          <w:rFonts w:ascii="Georgia" w:cs="Georgia" w:eastAsia="Georgia" w:hAnsi="Georgia"/>
          <w:color w:val="3a3a3a"/>
          <w:sz w:val="20"/>
          <w:szCs w:val="20"/>
        </w:rPr>
        <w:t xml:space="preserve">1965 — Voting Rights Act. Executive Order 11246: Affirmative action for federal contractors.</w:t>
      </w:r>
    </w:p>
    <w:p>
      <w:pPr>
        <w:spacing w:after="60" w:before="0" w:line="312"/>
        <w:jc w:val="both"/>
      </w:pPr>
      <w:r>
        <w:rPr>
          <w:rFonts w:ascii="Georgia" w:cs="Georgia" w:eastAsia="Georgia" w:hAnsi="Georgia"/>
          <w:color w:val="3a3a3a"/>
          <w:sz w:val="20"/>
          <w:szCs w:val="20"/>
        </w:rPr>
        <w:t xml:space="preserve">1968 — Fair Housing Act: Prohibits housing discrimination. Kerner Commission report.</w:t>
      </w:r>
    </w:p>
    <w:p>
      <w:pPr>
        <w:spacing w:after="60" w:before="0" w:line="312"/>
        <w:jc w:val="both"/>
      </w:pPr>
      <w:r>
        <w:rPr>
          <w:rFonts w:ascii="Georgia" w:cs="Georgia" w:eastAsia="Georgia" w:hAnsi="Georgia"/>
          <w:color w:val="3a3a3a"/>
          <w:sz w:val="20"/>
          <w:szCs w:val="20"/>
        </w:rPr>
        <w:t xml:space="preserve">1972 — Equal Employment Opportunity Act: Gives EEOC enforcement power. ERA passed by Congress.</w:t>
      </w:r>
    </w:p>
    <w:p>
      <w:pPr>
        <w:spacing w:after="60" w:before="0" w:line="312"/>
        <w:jc w:val="both"/>
      </w:pPr>
      <w:r>
        <w:rPr>
          <w:rFonts w:ascii="Georgia" w:cs="Georgia" w:eastAsia="Georgia" w:hAnsi="Georgia"/>
          <w:color w:val="3a3a3a"/>
          <w:sz w:val="20"/>
          <w:szCs w:val="20"/>
        </w:rPr>
        <w:t xml:space="preserve">1977 — FLSA extended to agricultural workers (39 years after passage).</w:t>
      </w:r>
    </w:p>
    <w:p>
      <w:pPr>
        <w:spacing w:after="60" w:before="0" w:line="312"/>
        <w:jc w:val="both"/>
      </w:pPr>
      <w:r>
        <w:rPr>
          <w:rFonts w:ascii="Georgia" w:cs="Georgia" w:eastAsia="Georgia" w:hAnsi="Georgia"/>
          <w:color w:val="3a3a3a"/>
          <w:sz w:val="20"/>
          <w:szCs w:val="20"/>
        </w:rPr>
        <w:t xml:space="preserve">1978 — Bakke: Racial quotas struck down; race-conscious admissions upheld.</w:t>
      </w:r>
    </w:p>
    <w:p>
      <w:pPr>
        <w:spacing w:after="60" w:before="0" w:line="312"/>
        <w:jc w:val="both"/>
      </w:pPr>
      <w:r>
        <w:rPr>
          <w:rFonts w:ascii="Georgia" w:cs="Georgia" w:eastAsia="Georgia" w:hAnsi="Georgia"/>
          <w:color w:val="3a3a3a"/>
          <w:sz w:val="20"/>
          <w:szCs w:val="20"/>
        </w:rPr>
        <w:t xml:space="preserve">1982 — ERA ratification deadline expires.</w:t>
      </w:r>
    </w:p>
    <w:p>
      <w:pPr>
        <w:spacing w:after="60" w:before="0" w:line="312"/>
        <w:jc w:val="both"/>
      </w:pPr>
      <w:r>
        <w:rPr>
          <w:rFonts w:ascii="Georgia" w:cs="Georgia" w:eastAsia="Georgia" w:hAnsi="Georgia"/>
          <w:color w:val="3a3a3a"/>
          <w:sz w:val="20"/>
          <w:szCs w:val="20"/>
        </w:rPr>
        <w:t xml:space="preserve">1986 — Anti-Drug Abuse Act: 100:1 crack/powder disparity.</w:t>
      </w:r>
    </w:p>
    <w:p>
      <w:pPr>
        <w:spacing w:after="60" w:before="0" w:line="312"/>
        <w:jc w:val="both"/>
      </w:pPr>
      <w:r>
        <w:rPr>
          <w:rFonts w:ascii="Georgia" w:cs="Georgia" w:eastAsia="Georgia" w:hAnsi="Georgia"/>
          <w:color w:val="3a3a3a"/>
          <w:sz w:val="20"/>
          <w:szCs w:val="20"/>
        </w:rPr>
        <w:t xml:space="preserve">1994 — NAFTA.</w:t>
      </w:r>
    </w:p>
    <w:p>
      <w:pPr>
        <w:spacing w:after="60" w:before="0" w:line="312"/>
        <w:jc w:val="both"/>
      </w:pPr>
      <w:r>
        <w:rPr>
          <w:rFonts w:ascii="Georgia" w:cs="Georgia" w:eastAsia="Georgia" w:hAnsi="Georgia"/>
          <w:color w:val="3a3a3a"/>
          <w:sz w:val="20"/>
          <w:szCs w:val="20"/>
        </w:rPr>
        <w:t xml:space="preserve">1996 — Welfare reform (TANF replaces AFDC).</w:t>
      </w:r>
    </w:p>
    <w:p>
      <w:pPr>
        <w:spacing w:after="60" w:before="0" w:line="312"/>
        <w:jc w:val="both"/>
      </w:pPr>
      <w:r>
        <w:rPr>
          <w:rFonts w:ascii="Georgia" w:cs="Georgia" w:eastAsia="Georgia" w:hAnsi="Georgia"/>
          <w:color w:val="3a3a3a"/>
          <w:sz w:val="20"/>
          <w:szCs w:val="20"/>
        </w:rPr>
        <w:t xml:space="preserve">2008 — Great Recession. 70% Black wealth destruction.</w:t>
      </w:r>
    </w:p>
    <w:p>
      <w:pPr>
        <w:spacing w:after="60" w:before="0" w:line="312"/>
        <w:jc w:val="both"/>
      </w:pPr>
      <w:r>
        <w:rPr>
          <w:rFonts w:ascii="Georgia" w:cs="Georgia" w:eastAsia="Georgia" w:hAnsi="Georgia"/>
          <w:color w:val="3a3a3a"/>
          <w:sz w:val="20"/>
          <w:szCs w:val="20"/>
        </w:rPr>
        <w:t xml:space="preserve">2010 — Fair Sentencing Act: Crack/powder ratio reduced from 100:1 to 18:1.</w:t>
      </w:r>
    </w:p>
    <w:p>
      <w:pPr>
        <w:spacing w:after="60" w:before="0" w:line="312"/>
        <w:jc w:val="both"/>
      </w:pPr>
      <w:r>
        <w:rPr>
          <w:rFonts w:ascii="Georgia" w:cs="Georgia" w:eastAsia="Georgia" w:hAnsi="Georgia"/>
          <w:color w:val="3a3a3a"/>
          <w:sz w:val="20"/>
          <w:szCs w:val="20"/>
        </w:rPr>
        <w:t xml:space="preserve">2020 — COVID-19. Disparate mortality, employment, and wealth impact.</w:t>
      </w:r>
    </w:p>
    <w:p>
      <w:pPr>
        <w:spacing w:after="200" w:before="0" w:line="312"/>
        <w:jc w:val="both"/>
      </w:pPr>
      <w:r>
        <w:rPr>
          <w:rFonts w:ascii="Georgia" w:cs="Georgia" w:eastAsia="Georgia" w:hAnsi="Georgia"/>
          <w:color w:val="3a3a3a"/>
          <w:sz w:val="20"/>
          <w:szCs w:val="20"/>
        </w:rPr>
        <w:t xml:space="preserve">2023 — SFFA v. Harvard: Race-conscious admissions effectively ended.</w:t>
      </w:r>
    </w:p>
    <w:p>
      <w:r>
        <w:br w:type="page"/>
      </w:r>
    </w:p>
    <w:p>
      <w:pPr>
        <w:pStyle w:val="Heading1"/>
        <w:spacing w:after="240" w:before="360"/>
      </w:pPr>
      <w:r>
        <w:rPr>
          <w:rFonts w:ascii="Georgia" w:cs="Georgia" w:eastAsia="Georgia" w:hAnsi="Georgia"/>
          <w:b/>
          <w:bCs/>
          <w:color w:val="1a1a1a"/>
          <w:sz w:val="36"/>
          <w:szCs w:val="36"/>
        </w:rPr>
        <w:t xml:space="preserve">Appendix D: Sources and Methodology</w:t>
      </w:r>
    </w:p>
    <w:p>
      <w:pPr>
        <w:pBdr>
          <w:bottom w:val="single" w:color="5b2c20" w:sz="4" w:space="1"/>
        </w:pBdr>
        <w:spacing w:after="200" w:before="200"/>
      </w:pPr>
    </w:p>
    <w:p>
      <w:pPr>
        <w:spacing w:after="100" w:before="0" w:line="312"/>
        <w:jc w:val="both"/>
      </w:pPr>
      <w:r>
        <w:rPr>
          <w:rFonts w:ascii="Georgia" w:cs="Georgia" w:eastAsia="Georgia" w:hAnsi="Georgia"/>
          <w:color w:val="3a3a3a"/>
          <w:sz w:val="24"/>
          <w:szCs w:val="24"/>
        </w:rPr>
        <w:t xml:space="preserve">All statistics in this book are sourced from federal data unless otherwise noted:</w:t>
      </w:r>
    </w:p>
    <w:p>
      <w:pPr>
        <w:spacing w:after="60" w:before="0" w:line="312"/>
        <w:jc w:val="both"/>
      </w:pPr>
      <w:r>
        <w:rPr>
          <w:rFonts w:ascii="Georgia" w:cs="Georgia" w:eastAsia="Georgia" w:hAnsi="Georgia"/>
          <w:color w:val="3a3a3a"/>
          <w:sz w:val="20"/>
          <w:szCs w:val="20"/>
        </w:rPr>
        <w:t xml:space="preserve">Bureau of Labor Statistics (BLS): Employment, unemployment, earnings, union membership.</w:t>
      </w:r>
    </w:p>
    <w:p>
      <w:pPr>
        <w:spacing w:after="60" w:before="0" w:line="312"/>
        <w:jc w:val="both"/>
      </w:pPr>
      <w:r>
        <w:rPr>
          <w:rFonts w:ascii="Georgia" w:cs="Georgia" w:eastAsia="Georgia" w:hAnsi="Georgia"/>
          <w:color w:val="3a3a3a"/>
          <w:sz w:val="20"/>
          <w:szCs w:val="20"/>
        </w:rPr>
        <w:t xml:space="preserve">Census Bureau: Income, poverty, homeownership, educational attainment (Current Population Survey, American Community Survey, decennial census).</w:t>
      </w:r>
    </w:p>
    <w:p>
      <w:pPr>
        <w:spacing w:after="60" w:before="0" w:line="312"/>
        <w:jc w:val="both"/>
      </w:pPr>
      <w:r>
        <w:rPr>
          <w:rFonts w:ascii="Georgia" w:cs="Georgia" w:eastAsia="Georgia" w:hAnsi="Georgia"/>
          <w:color w:val="3a3a3a"/>
          <w:sz w:val="20"/>
          <w:szCs w:val="20"/>
        </w:rPr>
        <w:t xml:space="preserve">Federal Reserve: Household wealth (Survey of Consumer Finances, conducted triennially since 1989).</w:t>
      </w:r>
    </w:p>
    <w:p>
      <w:pPr>
        <w:spacing w:after="60" w:before="0" w:line="312"/>
        <w:jc w:val="both"/>
      </w:pPr>
      <w:r>
        <w:rPr>
          <w:rFonts w:ascii="Georgia" w:cs="Georgia" w:eastAsia="Georgia" w:hAnsi="Georgia"/>
          <w:color w:val="3a3a3a"/>
          <w:sz w:val="20"/>
          <w:szCs w:val="20"/>
        </w:rPr>
        <w:t xml:space="preserve">Bureau of Justice Statistics: Incarceration rates, prison population demographics.</w:t>
      </w:r>
    </w:p>
    <w:p>
      <w:pPr>
        <w:spacing w:after="60" w:before="0" w:line="312"/>
        <w:jc w:val="both"/>
      </w:pPr>
      <w:r>
        <w:rPr>
          <w:rFonts w:ascii="Georgia" w:cs="Georgia" w:eastAsia="Georgia" w:hAnsi="Georgia"/>
          <w:color w:val="3a3a3a"/>
          <w:sz w:val="20"/>
          <w:szCs w:val="20"/>
        </w:rPr>
        <w:t xml:space="preserve">Centers for Disease Control / NCHS: Life expectancy, infant mortality, COVID mortality.</w:t>
      </w:r>
    </w:p>
    <w:p>
      <w:pPr>
        <w:spacing w:after="60" w:before="0" w:line="312"/>
        <w:jc w:val="both"/>
      </w:pPr>
      <w:r>
        <w:rPr>
          <w:rFonts w:ascii="Georgia" w:cs="Georgia" w:eastAsia="Georgia" w:hAnsi="Georgia"/>
          <w:color w:val="3a3a3a"/>
          <w:sz w:val="20"/>
          <w:szCs w:val="20"/>
        </w:rPr>
        <w:t xml:space="preserve">National Archives: HOLC maps, FHA Underwriting Manual, legislative records.</w:t>
      </w:r>
    </w:p>
    <w:p>
      <w:pPr>
        <w:spacing w:after="100" w:before="0" w:line="312"/>
        <w:jc w:val="both"/>
      </w:pPr>
      <w:r>
        <w:rPr>
          <w:rFonts w:ascii="Georgia" w:cs="Georgia" w:eastAsia="Georgia" w:hAnsi="Georgia"/>
          <w:color w:val="3a3a3a"/>
          <w:sz w:val="20"/>
          <w:szCs w:val="20"/>
        </w:rPr>
        <w:t xml:space="preserve">Congressional Budget Office: Tax and spending distribution analyses.</w:t>
      </w:r>
    </w:p>
    <w:p>
      <w:pPr>
        <w:spacing w:after="200" w:before="0" w:line="312"/>
        <w:jc w:val="both"/>
      </w:pPr>
      <w:r>
        <w:rPr>
          <w:rFonts w:ascii="Georgia" w:cs="Georgia" w:eastAsia="Georgia" w:hAnsi="Georgia"/>
          <w:color w:val="3a3a3a"/>
          <w:sz w:val="24"/>
          <w:szCs w:val="24"/>
        </w:rPr>
        <w:t xml:space="preserve">Where peer-reviewed research is cited, the citation is provided in-text with author, year, and journal/publisher. Full references are available in the original sources. This book prioritizes federal data because it is non-partisan, publicly available, and not in dispute.</w:t>
      </w:r>
    </w:p>
    <w:p>
      <w:r>
        <w:br w:type="page"/>
      </w:r>
    </w:p>
    <w:p>
      <w:pPr>
        <w:pStyle w:val="Heading1"/>
        <w:spacing w:after="240" w:before="360"/>
      </w:pPr>
      <w:r>
        <w:rPr>
          <w:rFonts w:ascii="Georgia" w:cs="Georgia" w:eastAsia="Georgia" w:hAnsi="Georgia"/>
          <w:b/>
          <w:bCs/>
          <w:color w:val="1a1a1a"/>
          <w:sz w:val="36"/>
          <w:szCs w:val="36"/>
        </w:rPr>
        <w:t xml:space="preserve">Appendix E: Glossary</w:t>
      </w:r>
    </w:p>
    <w:p>
      <w:pPr>
        <w:pBdr>
          <w:bottom w:val="single" w:color="5b2c20" w:sz="4" w:space="1"/>
        </w:pBdr>
        <w:spacing w:after="200" w:before="200"/>
      </w:pPr>
    </w:p>
    <w:p>
      <w:pPr>
        <w:spacing w:after="100" w:before="0" w:line="312"/>
        <w:jc w:val="both"/>
      </w:pPr>
      <w:r>
        <w:rPr>
          <w:rFonts w:ascii="Georgia" w:cs="Georgia" w:eastAsia="Georgia" w:hAnsi="Georgia"/>
          <w:b/>
          <w:bCs/>
          <w:color w:val="3a3a3a"/>
          <w:sz w:val="24"/>
          <w:szCs w:val="24"/>
        </w:rPr>
        <w:t xml:space="preserve">Davis-Bacon Act (1931): </w:t>
      </w:r>
      <w:r>
        <w:rPr>
          <w:rFonts w:ascii="Georgia" w:cs="Georgia" w:eastAsia="Georgia" w:hAnsi="Georgia"/>
          <w:color w:val="3a3a3a"/>
          <w:sz w:val="24"/>
          <w:szCs w:val="24"/>
        </w:rPr>
        <w:t xml:space="preserve">Federal law requiring prevailing (union) wages on federal construction projects. Excluded non-union (disproportionately Black) workers.</w:t>
      </w:r>
    </w:p>
    <w:p>
      <w:pPr>
        <w:spacing w:after="100" w:before="0" w:line="312"/>
        <w:jc w:val="both"/>
      </w:pPr>
      <w:r>
        <w:rPr>
          <w:rFonts w:ascii="Georgia" w:cs="Georgia" w:eastAsia="Georgia" w:hAnsi="Georgia"/>
          <w:b/>
          <w:bCs/>
          <w:color w:val="3a3a3a"/>
          <w:sz w:val="24"/>
          <w:szCs w:val="24"/>
        </w:rPr>
        <w:t xml:space="preserve">Disparate Impact: </w:t>
      </w:r>
      <w:r>
        <w:rPr>
          <w:rFonts w:ascii="Georgia" w:cs="Georgia" w:eastAsia="Georgia" w:hAnsi="Georgia"/>
          <w:color w:val="3a3a3a"/>
          <w:sz w:val="24"/>
          <w:szCs w:val="24"/>
        </w:rPr>
        <w:t xml:space="preserve">Legal doctrine holding that facially neutral policies that disproportionately burden protected groups violate civil rights law, regardless of intent.</w:t>
      </w:r>
    </w:p>
    <w:p>
      <w:pPr>
        <w:spacing w:after="100" w:before="0" w:line="312"/>
        <w:jc w:val="both"/>
      </w:pPr>
      <w:r>
        <w:rPr>
          <w:rFonts w:ascii="Georgia" w:cs="Georgia" w:eastAsia="Georgia" w:hAnsi="Georgia"/>
          <w:b/>
          <w:bCs/>
          <w:color w:val="3a3a3a"/>
          <w:sz w:val="24"/>
          <w:szCs w:val="24"/>
        </w:rPr>
        <w:t xml:space="preserve">FLSA: </w:t>
      </w:r>
      <w:r>
        <w:rPr>
          <w:rFonts w:ascii="Georgia" w:cs="Georgia" w:eastAsia="Georgia" w:hAnsi="Georgia"/>
          <w:color w:val="3a3a3a"/>
          <w:sz w:val="24"/>
          <w:szCs w:val="24"/>
        </w:rPr>
        <w:t xml:space="preserve">Fair Labor Standards Act (1938). Federal minimum wage and overtime law. Excluded agricultural and domestic workers until 1966–1977.</w:t>
      </w:r>
    </w:p>
    <w:p>
      <w:pPr>
        <w:spacing w:after="100" w:before="0" w:line="312"/>
        <w:jc w:val="both"/>
      </w:pPr>
      <w:r>
        <w:rPr>
          <w:rFonts w:ascii="Georgia" w:cs="Georgia" w:eastAsia="Georgia" w:hAnsi="Georgia"/>
          <w:b/>
          <w:bCs/>
          <w:color w:val="3a3a3a"/>
          <w:sz w:val="24"/>
          <w:szCs w:val="24"/>
        </w:rPr>
        <w:t xml:space="preserve">HOLC: </w:t>
      </w:r>
      <w:r>
        <w:rPr>
          <w:rFonts w:ascii="Georgia" w:cs="Georgia" w:eastAsia="Georgia" w:hAnsi="Georgia"/>
          <w:color w:val="3a3a3a"/>
          <w:sz w:val="24"/>
          <w:szCs w:val="24"/>
        </w:rPr>
        <w:t xml:space="preserve">Home Owners’ Loan Corporation. Created the residential security maps (1935–1940) that formed the basis of redlining.</w:t>
      </w:r>
    </w:p>
    <w:p>
      <w:pPr>
        <w:spacing w:after="100" w:before="0" w:line="312"/>
        <w:jc w:val="both"/>
      </w:pPr>
      <w:r>
        <w:rPr>
          <w:rFonts w:ascii="Georgia" w:cs="Georgia" w:eastAsia="Georgia" w:hAnsi="Georgia"/>
          <w:b/>
          <w:bCs/>
          <w:color w:val="3a3a3a"/>
          <w:sz w:val="24"/>
          <w:szCs w:val="24"/>
        </w:rPr>
        <w:t xml:space="preserve">Prevailing Wage: </w:t>
      </w:r>
      <w:r>
        <w:rPr>
          <w:rFonts w:ascii="Georgia" w:cs="Georgia" w:eastAsia="Georgia" w:hAnsi="Georgia"/>
          <w:color w:val="3a3a3a"/>
          <w:sz w:val="24"/>
          <w:szCs w:val="24"/>
        </w:rPr>
        <w:t xml:space="preserve">The wage rate determined by the Department of Labor for a given job classification in a given area. Under Davis-Bacon, typically equal to the union wage.</w:t>
      </w:r>
    </w:p>
    <w:p>
      <w:pPr>
        <w:spacing w:after="100" w:before="0" w:line="312"/>
        <w:jc w:val="both"/>
      </w:pPr>
      <w:r>
        <w:rPr>
          <w:rFonts w:ascii="Georgia" w:cs="Georgia" w:eastAsia="Georgia" w:hAnsi="Georgia"/>
          <w:b/>
          <w:bCs/>
          <w:color w:val="3a3a3a"/>
          <w:sz w:val="24"/>
          <w:szCs w:val="24"/>
        </w:rPr>
        <w:t xml:space="preserve">Redlining: </w:t>
      </w:r>
      <w:r>
        <w:rPr>
          <w:rFonts w:ascii="Georgia" w:cs="Georgia" w:eastAsia="Georgia" w:hAnsi="Georgia"/>
          <w:color w:val="3a3a3a"/>
          <w:sz w:val="24"/>
          <w:szCs w:val="24"/>
        </w:rPr>
        <w:t xml:space="preserve">The practice of denying financial services to residents of specific areas based on racial composition. Originated with HOLC maps and FHA policy.</w:t>
      </w:r>
    </w:p>
    <w:p>
      <w:pPr>
        <w:spacing w:after="100" w:before="0" w:line="312"/>
        <w:jc w:val="both"/>
      </w:pPr>
      <w:r>
        <w:rPr>
          <w:rFonts w:ascii="Georgia" w:cs="Georgia" w:eastAsia="Georgia" w:hAnsi="Georgia"/>
          <w:b/>
          <w:bCs/>
          <w:color w:val="3a3a3a"/>
          <w:sz w:val="24"/>
          <w:szCs w:val="24"/>
        </w:rPr>
        <w:t xml:space="preserve">SCF: </w:t>
      </w:r>
      <w:r>
        <w:rPr>
          <w:rFonts w:ascii="Georgia" w:cs="Georgia" w:eastAsia="Georgia" w:hAnsi="Georgia"/>
          <w:color w:val="3a3a3a"/>
          <w:sz w:val="24"/>
          <w:szCs w:val="24"/>
        </w:rPr>
        <w:t xml:space="preserve">Survey of Consumer Finances. Federal Reserve survey of household wealth conducted every three years.</w:t>
      </w:r>
    </w:p>
    <w:p>
      <w:pPr>
        <w:spacing w:after="100" w:before="0" w:line="312"/>
        <w:jc w:val="both"/>
      </w:pPr>
      <w:r>
        <w:rPr>
          <w:rFonts w:ascii="Georgia" w:cs="Georgia" w:eastAsia="Georgia" w:hAnsi="Georgia"/>
          <w:b/>
          <w:bCs/>
          <w:color w:val="3a3a3a"/>
          <w:sz w:val="24"/>
          <w:szCs w:val="24"/>
        </w:rPr>
        <w:t xml:space="preserve">Subprime: </w:t>
      </w:r>
      <w:r>
        <w:rPr>
          <w:rFonts w:ascii="Georgia" w:cs="Georgia" w:eastAsia="Georgia" w:hAnsi="Georgia"/>
          <w:color w:val="3a3a3a"/>
          <w:sz w:val="24"/>
          <w:szCs w:val="24"/>
        </w:rPr>
        <w:t xml:space="preserve">Mortgages with higher interest rates and less favorable terms than prime mortgages. Marketed disproportionately to Black and Hispanic borrowers (2000–2008).</w:t>
      </w:r>
    </w:p>
    <w:p>
      <w:pPr>
        <w:spacing w:after="100" w:before="0" w:line="312"/>
        <w:jc w:val="both"/>
      </w:pPr>
      <w:r>
        <w:rPr>
          <w:rFonts w:ascii="Georgia" w:cs="Georgia" w:eastAsia="Georgia" w:hAnsi="Georgia"/>
          <w:b/>
          <w:bCs/>
          <w:color w:val="3a3a3a"/>
          <w:sz w:val="24"/>
          <w:szCs w:val="24"/>
        </w:rPr>
        <w:t xml:space="preserve">Wage Gap: </w:t>
      </w:r>
      <w:r>
        <w:rPr>
          <w:rFonts w:ascii="Georgia" w:cs="Georgia" w:eastAsia="Georgia" w:hAnsi="Georgia"/>
          <w:color w:val="3a3a3a"/>
          <w:sz w:val="24"/>
          <w:szCs w:val="24"/>
        </w:rPr>
        <w:t xml:space="preserve">The difference in median earnings between groups, typically expressed as cents per dollar or a percentage ratio.</w:t>
      </w:r>
    </w:p>
    <w:p>
      <w:pPr>
        <w:spacing w:after="200" w:before="0" w:line="312"/>
        <w:jc w:val="both"/>
      </w:pPr>
      <w:r>
        <w:rPr>
          <w:rFonts w:ascii="Georgia" w:cs="Georgia" w:eastAsia="Georgia" w:hAnsi="Georgia"/>
          <w:b/>
          <w:bCs/>
          <w:color w:val="3a3a3a"/>
          <w:sz w:val="24"/>
          <w:szCs w:val="24"/>
        </w:rPr>
        <w:t xml:space="preserve">Wealth Gap: </w:t>
      </w:r>
      <w:r>
        <w:rPr>
          <w:rFonts w:ascii="Georgia" w:cs="Georgia" w:eastAsia="Georgia" w:hAnsi="Georgia"/>
          <w:color w:val="3a3a3a"/>
          <w:sz w:val="24"/>
          <w:szCs w:val="24"/>
        </w:rPr>
        <w:t xml:space="preserve">The difference in median net worth between groups. Includes all assets (home, savings, investments, business) minus debts.</w:t>
      </w:r>
    </w:p>
    <w:p>
      <w:r>
        <w:br w:type="page"/>
      </w:r>
    </w:p>
    <w:p>
      <w:pPr>
        <w:spacing w:after="0" w:before="1500"/>
      </w:pPr>
    </w:p>
    <w:p>
      <w:pPr>
        <w:spacing w:after="40" w:before="0" w:line="312"/>
        <w:jc w:val="center"/>
      </w:pPr>
      <w:r>
        <w:rPr>
          <w:rFonts w:ascii="Arial" w:cs="Arial" w:eastAsia="Arial" w:hAnsi="Arial"/>
          <w:b/>
          <w:bCs/>
          <w:color w:val="1a1a1a"/>
          <w:sz w:val="28"/>
          <w:szCs w:val="28"/>
        </w:rPr>
        <w:t xml:space="preserve">1931 TO NOW</w:t>
      </w:r>
    </w:p>
    <w:p>
      <w:pPr>
        <w:spacing w:after="100" w:before="0" w:line="312"/>
        <w:jc w:val="center"/>
      </w:pPr>
      <w:r>
        <w:rPr>
          <w:rFonts w:ascii="Georgia" w:cs="Georgia" w:eastAsia="Georgia" w:hAnsi="Georgia"/>
          <w:i/>
          <w:iCs/>
          <w:color w:val="5b2c20"/>
          <w:sz w:val="20"/>
          <w:szCs w:val="20"/>
        </w:rPr>
        <w:t xml:space="preserve">The American Wage Gap and the Architecture of Inequality</w:t>
      </w:r>
    </w:p>
    <w:p>
      <w:pPr>
        <w:pBdr>
          <w:bottom w:val="single" w:color="5b2c20" w:sz="4" w:space="1"/>
        </w:pBdr>
        <w:spacing w:after="200" w:before="200"/>
      </w:pPr>
    </w:p>
    <w:p>
      <w:pPr>
        <w:spacing w:after="40" w:before="0" w:line="312"/>
        <w:jc w:val="center"/>
      </w:pPr>
      <w:r>
        <w:rPr>
          <w:rFonts w:ascii="Arial" w:cs="Arial" w:eastAsia="Arial" w:hAnsi="Arial"/>
          <w:color w:val="777777"/>
          <w:sz w:val="20"/>
          <w:szCs w:val="20"/>
        </w:rPr>
        <w:t xml:space="preserve">David Lee Wise &amp; AVAN</w:t>
      </w:r>
    </w:p>
    <w:p>
      <w:pPr>
        <w:spacing w:after="40" w:before="0" w:line="312"/>
        <w:jc w:val="center"/>
      </w:pPr>
      <w:r>
        <w:rPr>
          <w:rFonts w:ascii="Courier New" w:cs="Courier New" w:eastAsia="Courier New" w:hAnsi="Courier New"/>
          <w:color w:val="777777"/>
          <w:sz w:val="16"/>
          <w:szCs w:val="16"/>
        </w:rPr>
        <w:t xml:space="preserve">TriPod LLC | CC-BY-ND-4.0 | TRIPOD-IP-v1.1</w:t>
      </w:r>
    </w:p>
    <w:p>
      <w:pPr>
        <w:spacing w:after="200" w:before="0" w:line="312"/>
        <w:jc w:val="center"/>
      </w:pPr>
      <w:r>
        <w:rPr>
          <w:rFonts w:ascii="Arial" w:cs="Arial" w:eastAsia="Arial" w:hAnsi="Arial"/>
          <w:color w:val="777777"/>
          <w:sz w:val="18"/>
          <w:szCs w:val="18"/>
        </w:rPr>
        <w:t xml:space="preserve">April 2026</w:t>
      </w:r>
    </w:p>
    <w:p>
      <w:pPr>
        <w:spacing w:after="0" w:before="200"/>
      </w:pPr>
    </w:p>
    <w:p>
      <w:pPr>
        <w:spacing w:after="100" w:before="0" w:line="312"/>
        <w:jc w:val="center"/>
      </w:pPr>
      <w:r>
        <w:rPr>
          <w:rFonts w:ascii="Georgia" w:cs="Georgia" w:eastAsia="Georgia" w:hAnsi="Georgia"/>
          <w:i/>
          <w:iCs/>
          <w:color w:val="1a1a1a"/>
          <w:sz w:val="24"/>
          <w:szCs w:val="24"/>
        </w:rPr>
        <w:t xml:space="preserve">The gap is not a mystery. It is arithmetic.</w:t>
      </w:r>
    </w:p>
    <w:p>
      <w:pPr>
        <w:spacing w:after="200" w:before="0" w:line="312"/>
        <w:jc w:val="center"/>
      </w:pPr>
      <w:r>
        <w:rPr>
          <w:rFonts w:ascii="Georgia" w:cs="Georgia" w:eastAsia="Georgia" w:hAnsi="Georgia"/>
          <w:i/>
          <w:iCs/>
          <w:color w:val="1a1a1a"/>
          <w:sz w:val="24"/>
          <w:szCs w:val="24"/>
        </w:rPr>
        <w:t xml:space="preserve">And arithmetic has solutions.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1931 TO 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2026-04-01T23:50:17.904Z</dcterms:created>
  <dcterms:modified xsi:type="dcterms:W3CDTF">2026-04-01T23:50:17.905Z</dcterms:modified>
</cp:coreProperties>
</file>

<file path=docProps/custom.xml><?xml version="1.0" encoding="utf-8"?>
<Properties xmlns="http://schemas.openxmlformats.org/officeDocument/2006/custom-properties" xmlns:vt="http://schemas.openxmlformats.org/officeDocument/2006/docPropsVTypes"/>
</file>