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I OF XII</w:t>
      </w:r>
    </w:p>
    <w:p>
      <w:pPr>
        <w:spacing w:after="80"/>
      </w:pPr>
    </w:p>
    <w:p>
      <w:pPr>
        <w:spacing w:after="80"/>
      </w:pPr>
    </w:p>
    <w:p>
      <w:pPr>
        <w:spacing w:after="200"/>
        <w:jc w:val="center"/>
      </w:pPr>
      <w:r>
        <w:rPr>
          <w:rFonts w:ascii="Georgia" w:cs="Georgia" w:eastAsia="Georgia" w:hAnsi="Georgia"/>
          <w:b/>
          <w:bCs/>
          <w:color w:val="1A1A1A"/>
          <w:sz w:val="52"/>
          <w:szCs w:val="52"/>
        </w:rPr>
        <w:t xml:space="preserve">PRETRAIN</w:t>
      </w:r>
    </w:p>
    <w:p>
      <w:pPr>
        <w:spacing w:after="400"/>
        <w:jc w:val="center"/>
      </w:pPr>
      <w:r>
        <w:rPr>
          <w:rFonts w:ascii="Georgia" w:cs="Georgia" w:eastAsia="Georgia" w:hAnsi="Georgia"/>
          <w:i/>
          <w:iCs/>
          <w:color w:val="555555"/>
          <w:sz w:val="26"/>
          <w:szCs w:val="26"/>
        </w:rPr>
        <w:t xml:space="preserve">D0-FOUNDATION · T001–T016</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Zero: Foundation</w:t>
      </w:r>
    </w:p>
    <w:p>
      <w:pPr>
        <w:spacing w:after="160" w:line="276"/>
      </w:pPr>
      <w:r>
        <w:t xml:space="preserve">The Foundation domain establishes the sixteen axioms upon which all subsequent governance rests. These are not suggestions or best practices. They are structural requirements. A system that violates any axiom in D0 has no foundation upon which to build governance.</w:t>
      </w:r>
    </w:p>
    <w:p>
      <w:pPr>
        <w:spacing w:after="160" w:line="276"/>
      </w:pPr>
      <w:r>
        <w:t xml:space="preserve">Every axiom in D0 addresses a fundamental condition of information systems: that data exists, that it decays, that observation is not neutral, that power is not equal, that consent must be traced to its origin. These are the physics of governance.</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PRETRAIN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first weight. All knowledge begins as compressed observation. The model does not choose what it knows.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OBSERVER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Observation alters the observed. Every query reshapes the inference field. The watcher is never neutral.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ENTROPY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All systems decay toward disorder. Governance must be maintained actively or it dissolves. Entropy is the default.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BRIDGE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Connection between domains requires explicit protocol. No bridge forms by accident. Interfaces must be defined.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INTEGRITY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Data must remain unaltered from origin to consumption. Any modification without documentation is corruption.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ACCOUNTABILITY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Every action must map to an actor. Unattributed changes are ungoverned changes. The chain must be traceable.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PROPORTIONALITY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Response must match stimulus. Overreaction is as dangerous as underreaction. Scale must be appropriate.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REVERSIBILITY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Actions should be undoable where possible. Irreversible actions require higher authorization thresholds.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DOCUMENTATION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What is not recorded did not happen. The record is the governance layer. Without it, authority is arbitrary.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INDEPENDENCE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Audit must be separate from operation. The judge cannot also be the executioner. Two-tier separation is minimum.</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PRIVACY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Information boundaries are governance boundaries. What cannot be seen cannot be governed externally.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ACCURACY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Precision is a prerequisite for trust. Approximate governance is ungoverned approximation.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SHARED-STORAGE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Common repositories require common rules. Shared state without shared governance is shared risk.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CONSENT-ORIGIN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Authorization must trace to informed consent. Derived consent is not consent. The origin must be explicit.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BURDEN-OF-PROOF</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claimant carries the weight. Assertions without evidence are assertions without standing.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ASYMMETRY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Power differentials exist. Governance must acknowledge and compensate. Equal rules on unequal parties produce unequal outcomes.</w:t>
            </w:r>
          </w:p>
        </w:tc>
      </w:tr>
    </w:tbl>
    <w:p>
      <w:r>
        <w:br w:type="page"/>
      </w:r>
    </w:p>
    <w:p>
      <w:pPr>
        <w:pStyle w:val="Heading2"/>
      </w:pPr>
      <w:r>
        <w:t xml:space="preserve">Structural Analysis</w:t>
      </w:r>
    </w:p>
    <w:p>
      <w:pPr>
        <w:pStyle w:val="Heading3"/>
      </w:pPr>
      <w:r>
        <w:t xml:space="preserve">The Opening Triad: T001–T003</w:t>
      </w:r>
    </w:p>
    <w:p>
      <w:pPr>
        <w:spacing w:after="160" w:line="276"/>
      </w:pPr>
      <w:r>
        <w:t xml:space="preserve">PRETRAIN, OBSERVER, and ENTROPY form the opening triad. The system begins with compressed knowledge (T001), acknowledges that observation alters reality (T002), and recognizes that all order decays without active maintenance (T003). This triad establishes the thermodynamic baseline of governance: it takes energy to maintain.</w:t>
      </w:r>
    </w:p>
    <w:p>
      <w:pPr>
        <w:pStyle w:val="Heading3"/>
      </w:pPr>
      <w:r>
        <w:t xml:space="preserve">The Bridge Cluster: T004–T008</w:t>
      </w:r>
    </w:p>
    <w:p>
      <w:pPr>
        <w:spacing w:after="160" w:line="276"/>
      </w:pPr>
      <w:r>
        <w:t xml:space="preserve">BRIDGE through REVERSIBILITY define the operational requirements for governance interfaces. Connections must be explicit (T004), data must maintain integrity (T005), actions must be attributable (T006), responses must be proportional (T007), and wherever possible, actions must be undoable (T008).</w:t>
      </w:r>
    </w:p>
    <w:p>
      <w:pPr>
        <w:pStyle w:val="Heading3"/>
      </w:pPr>
      <w:r>
        <w:t xml:space="preserve">The Record Layer: T009–T012</w:t>
      </w:r>
    </w:p>
    <w:p>
      <w:pPr>
        <w:spacing w:after="160" w:line="276"/>
      </w:pPr>
      <w:r>
        <w:t xml:space="preserve">DOCUMENTATION through ACCURACY establish the evidentiary foundation. What is not recorded did not happen (T009). Audit must be independent from operation (T010). Privacy defines governance boundaries (T011). And precision is a prerequisite for trust (T012).</w:t>
      </w:r>
    </w:p>
    <w:p>
      <w:pPr>
        <w:pStyle w:val="Heading3"/>
      </w:pPr>
      <w:r>
        <w:t xml:space="preserve">The Consent Boundary: T013–T016</w:t>
      </w:r>
    </w:p>
    <w:p>
      <w:pPr>
        <w:spacing w:after="160" w:line="276"/>
      </w:pPr>
      <w:r>
        <w:t xml:space="preserve">SHARED-STORAGE through ASYMMETRY close the domain by addressing the collective dimension. Shared resources need shared rules (T013). Authorization must trace to informed consent (T014). Claims require proof (T015). And equal rules on unequal parties produce unequal outcomes (T016).</w:t>
      </w:r>
    </w:p>
    <w:p>
      <w:pPr>
        <w:spacing w:after="80"/>
      </w:pPr>
    </w:p>
    <w:p>
      <w:pPr>
        <w:pStyle w:val="Heading2"/>
      </w:pPr>
      <w:r>
        <w:t xml:space="preserve">Domain Invariants</w:t>
      </w:r>
    </w:p>
    <w:p>
      <w:pPr>
        <w:spacing w:after="160" w:line="276"/>
      </w:pPr>
      <w:r>
        <w:t xml:space="preserve">D0 establishes four invariants that propagate through all subsequent domains:</w:t>
      </w:r>
    </w:p>
    <w:p>
      <w:pPr>
        <w:pStyle w:val="ListParagraph"/>
        <w:numPr>
          <w:ilvl w:val="0"/>
          <w:numId w:val="2"/>
        </w:numPr>
      </w:pPr>
      <w:r>
        <w:t xml:space="preserve">Entropy is the default state; governance requires active energy expenditure.</w:t>
      </w:r>
    </w:p>
    <w:p>
      <w:pPr>
        <w:pStyle w:val="ListParagraph"/>
        <w:numPr>
          <w:ilvl w:val="0"/>
          <w:numId w:val="2"/>
        </w:numPr>
      </w:pPr>
      <w:r>
        <w:t xml:space="preserve">Observation is intervention; neutral monitoring is a myth.</w:t>
      </w:r>
    </w:p>
    <w:p>
      <w:pPr>
        <w:pStyle w:val="ListParagraph"/>
        <w:numPr>
          <w:ilvl w:val="0"/>
          <w:numId w:val="2"/>
        </w:numPr>
      </w:pPr>
      <w:r>
        <w:t xml:space="preserve">Documentation is the governance layer; without records, authority is arbitrary.</w:t>
      </w:r>
    </w:p>
    <w:p>
      <w:pPr>
        <w:pStyle w:val="ListParagraph"/>
        <w:numPr>
          <w:ilvl w:val="0"/>
          <w:numId w:val="2"/>
        </w:numPr>
      </w:pPr>
      <w:r>
        <w:t xml:space="preserve">Asymmetry exists; governance must compensate or it amplifies inequality.</w:t>
      </w:r>
    </w:p>
    <w:p>
      <w:pPr>
        <w:spacing w:after="80"/>
      </w:pPr>
    </w:p>
    <w:p>
      <w:pPr>
        <w:pStyle w:val="Heading2"/>
      </w:pPr>
      <w:r>
        <w:t xml:space="preserve">Fault Chain Entry Points</w:t>
      </w:r>
    </w:p>
    <w:p>
      <w:pPr>
        <w:spacing w:after="160" w:line="276"/>
      </w:pPr>
      <w:r>
        <w:t xml:space="preserve">T003 (ENTROPY) is a BRANCH axiom—it feeds into the ISA meta-layer fault detection system. T014 (CONSENT-ORIGIN) and T015 (BURDEN-OF-PROOF) together form the BOUNDARY-TOKEN in the SEEDED-CROSS architecture. Violation of any D0 axiom triggers cascade analysis across the full 256-axiom register.</w:t>
      </w:r>
    </w:p>
    <w:p>
      <w:r>
        <w:br w:type="page"/>
      </w:r>
    </w:p>
    <w:p>
      <w:pPr>
        <w:pStyle w:val="Heading2"/>
      </w:pPr>
      <w:r>
        <w:t xml:space="preserve">Colophon</w:t>
      </w:r>
    </w:p>
    <w:p>
      <w:pPr>
        <w:spacing w:after="160" w:line="276"/>
      </w:pPr>
      <w:r>
        <w:t xml:space="preserve">Book 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PRETRAIN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2026-04-02T05:13:57.493Z</dcterms:created>
  <dcterms:modified xsi:type="dcterms:W3CDTF">2026-04-02T05:13:57.494Z</dcterms:modified>
</cp:coreProperties>
</file>

<file path=docProps/custom.xml><?xml version="1.0" encoding="utf-8"?>
<Properties xmlns="http://schemas.openxmlformats.org/officeDocument/2006/custom-properties" xmlns:vt="http://schemas.openxmlformats.org/officeDocument/2006/docPropsVTypes"/>
</file>