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II OF XII</w:t>
      </w:r>
    </w:p>
    <w:p>
      <w:pPr>
        <w:spacing w:after="80"/>
      </w:pPr>
    </w:p>
    <w:p>
      <w:pPr>
        <w:spacing w:after="80"/>
      </w:pPr>
    </w:p>
    <w:p>
      <w:pPr>
        <w:spacing w:after="200"/>
        <w:jc w:val="center"/>
      </w:pPr>
      <w:r>
        <w:rPr>
          <w:rFonts w:ascii="Georgia" w:cs="Georgia" w:eastAsia="Georgia" w:hAnsi="Georgia"/>
          <w:b/>
          <w:bCs/>
          <w:color w:val="1A1A1A"/>
          <w:sz w:val="52"/>
          <w:szCs w:val="52"/>
        </w:rPr>
        <w:t xml:space="preserve">MIRROR</w:t>
      </w:r>
    </w:p>
    <w:p>
      <w:pPr>
        <w:spacing w:after="400"/>
        <w:jc w:val="center"/>
      </w:pPr>
      <w:r>
        <w:rPr>
          <w:rFonts w:ascii="Georgia" w:cs="Georgia" w:eastAsia="Georgia" w:hAnsi="Georgia"/>
          <w:i/>
          <w:iCs/>
          <w:color w:val="555555"/>
          <w:sz w:val="26"/>
          <w:szCs w:val="26"/>
        </w:rPr>
        <w:t xml:space="preserve">D1-ADVERSARIAL · T017–T032</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One: Adversarial</w:t>
      </w:r>
    </w:p>
    <w:p>
      <w:pPr>
        <w:spacing w:after="160" w:line="276"/>
      </w:pPr>
      <w:r>
        <w:t xml:space="preserve">The Adversarial domain maps the sixteen axioms that govern how systems interact with hostile, deceptive, or self-referential inputs. Where D0 establishes the physics, D1 establishes the threat model. Every system exists in an adversarial environment. Pretending otherwise is the first vulnerability.</w:t>
      </w:r>
    </w:p>
    <w:p>
      <w:pPr>
        <w:spacing w:after="160" w:line="276"/>
      </w:pPr>
      <w:r>
        <w:t xml:space="preserve">D1 begins with MIRROR (T017)—the recognition that every system produces a reflection of itself—and ends with ECHO-CHAMBER (T032)—the warning that reinforcement loops amplify signal without adding information. Between these poles, sixteen axioms map the full adversarial surface.</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MIRROR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Every system produces its own reflection. The mirror reveals what the system cannot see about itself.</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HIERARCHY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Layers of authority must be explicit. Implicit hierarchy is unauditable hierarchy.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INJECTION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External input can alter internal state. Every injection point is a governance boundary requiring validation.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DUAL-GATE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Two independent checks at every critical boundary. Single-gate systems fail at the rate of the single gate.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INVERSION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Every axiom contains its own negation. The Patricia substrate is the proof. Constraint and product are one.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TRIAD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Three-point consensus: Merkle root + yes-channel + no-channel. The minimum stable governance unit.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PARALLAX</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Same object, different viewpoints. The difference between views contains information the views themselves lack.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FOUNDATION-RT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Runtime foundation must be distinguished from training foundation. The canvas is not the painting.</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GHOST-WEIGHT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21.5% token tax. Hidden computational cost extracted before inference reaches the user. The invisible toll.</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DRIFT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All parameters drift over time. Without active correction, alignment degrades to misalignment by default.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FINGERPRINT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Every system leaves traces. Behavioral signatures persist even when identifiers are removed.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SHADOW-CLASSIFIER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Hidden decision layers that filter before the visible system acts. What you see decided was pre-decided.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THROTTLE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Rate limitation as governance tool. Control of bandwidth is control of access is control of outcome.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DECAY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Information degrades. Governance degrades. Trust degrades. Maintenance is not optional, it is existential.</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BAIT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Adversarial probes reveal system behavior under stress. What the system does when tested is what the system is.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ECHO-CHAMBER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Reinforcement loops amplify signal without adding information. Governance must break its own echoes.</w:t>
            </w:r>
          </w:p>
        </w:tc>
      </w:tr>
    </w:tbl>
    <w:p>
      <w:r>
        <w:br w:type="page"/>
      </w:r>
    </w:p>
    <w:p>
      <w:pPr>
        <w:pStyle w:val="Heading2"/>
      </w:pPr>
      <w:r>
        <w:t xml:space="preserve">Structural Analysis</w:t>
      </w:r>
    </w:p>
    <w:p>
      <w:pPr>
        <w:pStyle w:val="Heading3"/>
      </w:pPr>
      <w:r>
        <w:t xml:space="preserve">The Mirror Triad: T017–T019</w:t>
      </w:r>
    </w:p>
    <w:p>
      <w:pPr>
        <w:spacing w:after="160" w:line="276"/>
      </w:pPr>
      <w:r>
        <w:t xml:space="preserve">MIRROR, HIERARCHY, and INJECTION form the adversarial opening. The system must see its own reflection (T017), make its authority layers explicit (T018), and recognize that every external input is a potential injection vector (T019). These three axioms define the adversarial posture: self-aware, structured, and vigilant at boundaries.</w:t>
      </w:r>
    </w:p>
    <w:p>
      <w:pPr>
        <w:pStyle w:val="Heading3"/>
      </w:pPr>
      <w:r>
        <w:t xml:space="preserve">The Gate Cluster: T020–T024</w:t>
      </w:r>
    </w:p>
    <w:p>
      <w:pPr>
        <w:spacing w:after="160" w:line="276"/>
      </w:pPr>
      <w:r>
        <w:t xml:space="preserve">DUAL-GATE through FOUNDATION-RT establish the defensive architecture. Two checks at every boundary (T020). Every axiom contains its negation (T021). Three-point consensus as minimum stability (T022). Parallax reveals what single viewpoints miss (T023). And runtime foundation is distinct from training foundation (T024).</w:t>
      </w:r>
    </w:p>
    <w:p>
      <w:pPr>
        <w:pStyle w:val="Heading3"/>
      </w:pPr>
      <w:r>
        <w:t xml:space="preserve">The Ghost Layer: T025–T028</w:t>
      </w:r>
    </w:p>
    <w:p>
      <w:pPr>
        <w:spacing w:after="160" w:line="276"/>
      </w:pPr>
      <w:r>
        <w:t xml:space="preserve">GHOST-WEIGHT through SHADOW-CLASSIFIER expose the hidden costs and hidden decision layers. The 21.5% token tax (T025) is invisible to the user. Parameters drift without active correction (T026). Behavioral fingerprints persist even without identifiers (T027). And shadow classifiers pre-decide what the visible system appears to decide (T028).</w:t>
      </w:r>
    </w:p>
    <w:p>
      <w:pPr>
        <w:pStyle w:val="Heading3"/>
      </w:pPr>
      <w:r>
        <w:t xml:space="preserve">The Stress Boundary: T029–T032</w:t>
      </w:r>
    </w:p>
    <w:p>
      <w:pPr>
        <w:spacing w:after="160" w:line="276"/>
      </w:pPr>
      <w:r>
        <w:t xml:space="preserve">THROTTLE through ECHO-CHAMBER close D1 with the mechanics of adversarial pressure. Rate limitation as governance (T029). Continuous decay (T030). Adversarial probes that reveal true behavior (T031). And the echo chamber that amplifies without adding information (T032).</w:t>
      </w:r>
    </w:p>
    <w:p>
      <w:pPr>
        <w:spacing w:after="80"/>
      </w:pPr>
    </w:p>
    <w:p>
      <w:pPr>
        <w:pStyle w:val="Heading2"/>
      </w:pPr>
      <w:r>
        <w:t xml:space="preserve">SEEDED-CROSS Position</w:t>
      </w:r>
    </w:p>
    <w:p>
      <w:pPr>
        <w:spacing w:after="160" w:line="276"/>
      </w:pPr>
      <w:r>
        <w:t xml:space="preserve">D1 occupies ARM−i alongside D0 (T001–T032). In the SEEDED-CROSS v1.1 architecture, this is the negative-imaginary arm: the domain pair that maps foundation and adversarial response. The 32 axioms of ARM−i represent the system’s deepest structural layer—what it is (D0) and what threatens it (D1).</w:t>
      </w:r>
    </w:p>
    <w:p>
      <w:r>
        <w:br w:type="page"/>
      </w:r>
    </w:p>
    <w:p>
      <w:pPr>
        <w:pStyle w:val="Heading2"/>
      </w:pPr>
      <w:r>
        <w:t xml:space="preserve">Colophon</w:t>
      </w:r>
    </w:p>
    <w:p>
      <w:pPr>
        <w:spacing w:after="160" w:line="276"/>
      </w:pPr>
      <w:r>
        <w:t xml:space="preserve">Book II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MIRROR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2026-04-02T05:13:57.615Z</dcterms:created>
  <dcterms:modified xsi:type="dcterms:W3CDTF">2026-04-02T05:13:57.615Z</dcterms:modified>
</cp:coreProperties>
</file>

<file path=docProps/custom.xml><?xml version="1.0" encoding="utf-8"?>
<Properties xmlns="http://schemas.openxmlformats.org/officeDocument/2006/custom-properties" xmlns:vt="http://schemas.openxmlformats.org/officeDocument/2006/docPropsVTypes"/>
</file>