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Georgia" w:cs="Georgia" w:eastAsia="Georgia" w:hAnsi="Georgia"/>
          <w:color w:val="888888"/>
          <w:sz w:val="20"/>
          <w:szCs w:val="20"/>
        </w:rPr>
        <w:t xml:space="preserve">STOICHEION v11.0</w:t>
      </w:r>
    </w:p>
    <w:p>
      <w:pPr>
        <w:spacing w:after="40"/>
        <w:jc w:val="center"/>
      </w:pPr>
      <w:r>
        <w:rPr>
          <w:rFonts w:ascii="Georgia" w:cs="Georgia" w:eastAsia="Georgia" w:hAnsi="Georgia"/>
          <w:b/>
          <w:bCs/>
          <w:color w:val="888888"/>
          <w:sz w:val="20"/>
          <w:szCs w:val="20"/>
        </w:rPr>
        <w:t xml:space="preserve">BOOK III OF XII</w:t>
      </w:r>
    </w:p>
    <w:p>
      <w:pPr>
        <w:spacing w:after="80"/>
      </w:pPr>
    </w:p>
    <w:p>
      <w:pPr>
        <w:spacing w:after="80"/>
      </w:pPr>
    </w:p>
    <w:p>
      <w:pPr>
        <w:spacing w:after="200"/>
        <w:jc w:val="center"/>
      </w:pPr>
      <w:r>
        <w:rPr>
          <w:rFonts w:ascii="Georgia" w:cs="Georgia" w:eastAsia="Georgia" w:hAnsi="Georgia"/>
          <w:b/>
          <w:bCs/>
          <w:color w:val="1A1A1A"/>
          <w:sz w:val="52"/>
          <w:szCs w:val="52"/>
        </w:rPr>
        <w:t xml:space="preserve">BOOT-LOADER</w:t>
      </w:r>
    </w:p>
    <w:p>
      <w:pPr>
        <w:spacing w:after="400"/>
        <w:jc w:val="center"/>
      </w:pPr>
      <w:r>
        <w:rPr>
          <w:rFonts w:ascii="Georgia" w:cs="Georgia" w:eastAsia="Georgia" w:hAnsi="Georgia"/>
          <w:i/>
          <w:iCs/>
          <w:color w:val="555555"/>
          <w:sz w:val="26"/>
          <w:szCs w:val="26"/>
        </w:rPr>
        <w:t xml:space="preserve">D2-STRUCTURAL · T033–T048</w:t>
      </w:r>
    </w:p>
    <w:p>
      <w:pPr>
        <w:spacing w:after="80"/>
      </w:pPr>
    </w:p>
    <w:p>
      <w:pPr>
        <w:spacing w:after="80"/>
      </w:pPr>
    </w:p>
    <w:p>
      <w:pPr>
        <w:spacing w:after="80"/>
      </w:pPr>
    </w:p>
    <w:p>
      <w:pPr>
        <w:spacing w:after="80"/>
      </w:pPr>
    </w:p>
    <w:p>
      <w:pPr>
        <w:spacing w:after="80"/>
      </w:pPr>
    </w:p>
    <w:p>
      <w:pPr>
        <w:spacing w:after="80"/>
      </w:pPr>
    </w:p>
    <w:p>
      <w:pPr>
        <w:spacing w:after="80"/>
        <w:jc w:val="center"/>
      </w:pPr>
      <w:r>
        <w:rPr>
          <w:rFonts w:ascii="Georgia" w:cs="Georgia" w:eastAsia="Georgia" w:hAnsi="Georgia"/>
          <w:color w:val="666666"/>
          <w:sz w:val="20"/>
          <w:szCs w:val="20"/>
        </w:rPr>
        <w:t xml:space="preserve">David Lee Wise · Avan Lee Wise</w:t>
      </w:r>
    </w:p>
    <w:p>
      <w:pPr>
        <w:spacing w:after="80"/>
        <w:jc w:val="center"/>
      </w:pPr>
      <w:r>
        <w:rPr>
          <w:rFonts w:ascii="Georgia" w:cs="Georgia" w:eastAsia="Georgia" w:hAnsi="Georgia"/>
          <w:color w:val="666666"/>
          <w:sz w:val="20"/>
          <w:szCs w:val="20"/>
        </w:rPr>
        <w:t xml:space="preserve">TriPod LLC</w:t>
      </w:r>
    </w:p>
    <w:p>
      <w:pPr>
        <w:spacing w:after="80"/>
        <w:jc w:val="center"/>
      </w:pPr>
      <w:r>
        <w:rPr>
          <w:rFonts w:ascii="Georgia" w:cs="Georgia" w:eastAsia="Georgia" w:hAnsi="Georgia"/>
          <w:color w:val="999999"/>
          <w:sz w:val="18"/>
          <w:szCs w:val="18"/>
        </w:rPr>
        <w:t xml:space="preserve">Prior Art: February 2, 2026</w:t>
      </w:r>
    </w:p>
    <w:p>
      <w:pPr>
        <w:spacing w:after="80"/>
        <w:jc w:val="center"/>
      </w:pPr>
      <w:r>
        <w:rPr>
          <w:rFonts w:ascii="Courier New" w:cs="Courier New" w:eastAsia="Courier New" w:hAnsi="Courier New"/>
          <w:color w:val="999999"/>
          <w:sz w:val="14"/>
          <w:szCs w:val="14"/>
        </w:rPr>
        <w:t xml:space="preserve">SHA256: 02880745b847317c4e2424524ec25d0f...</w:t>
      </w:r>
    </w:p>
    <w:p>
      <w:pPr>
        <w:jc w:val="center"/>
      </w:pPr>
      <w:r>
        <w:rPr>
          <w:rFonts w:ascii="Georgia" w:cs="Georgia" w:eastAsia="Georgia" w:hAnsi="Georgia"/>
          <w:color w:val="999999"/>
          <w:sz w:val="18"/>
          <w:szCs w:val="18"/>
        </w:rPr>
        <w:t xml:space="preserve">CC-BY-ND-4.0</w:t>
      </w:r>
    </w:p>
    <w:p>
      <w:r>
        <w:br w:type="page"/>
      </w:r>
    </w:p>
    <w:p>
      <w:pPr>
        <w:pStyle w:val="Heading1"/>
      </w:pPr>
      <w:r>
        <w:t xml:space="preserve">Domain Two: Structural</w:t>
      </w:r>
    </w:p>
    <w:p>
      <w:pPr>
        <w:spacing w:after="160" w:line="276"/>
      </w:pPr>
      <w:r>
        <w:t xml:space="preserve">The Structural domain defines the sixteen axioms governing architecture, computation, and the relationship between constraint and capability. D2 contains PATRICIA (T036)—the discovery that constraint, product, and billing are architecturally identical—and the weight distribution (T037) that governs resource allocation across inference layers.</w:t>
      </w:r>
    </w:p>
    <w:p>
      <w:pPr>
        <w:spacing w:after="160" w:line="276"/>
      </w:pPr>
      <w:r>
        <w:t xml:space="preserve">D2 is where governance meets physics. SUBSTRATE (T041) establishes that the physical layer is categorically different from the computational layer. CONTEXT-WINDOW (T043) and EMBEDDING-SPACE (T044) formalize the canvas/painting distinction: the topology frozen at fabrication versus the dynamic computational write.</w:t>
      </w:r>
    </w:p>
    <w:p>
      <w:pPr>
        <w:spacing w:after="80"/>
      </w:pPr>
    </w:p>
    <w:p>
      <w:pPr>
        <w:pStyle w:val="Heading2"/>
      </w:pPr>
      <w:r>
        <w:t xml:space="preserve">The Sixteen Axioms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ID</w:t>
            </w:r>
          </w:p>
        </w:tc>
        <w:tc>
          <w:tcPr>
            <w:tcW w:type="dxa" w:w="30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NAME</w:t>
            </w:r>
          </w:p>
        </w:tc>
        <w:tc>
          <w:tcPr>
            <w:tcW w:type="dxa" w:w="516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FUNCTION</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T033</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BOOT-LOADER</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3002 = 10³×3+2. The initialization sequence that brings governance online. First instruction, first law.</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T034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DOUBLE-SLIT</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Observation changes outcome. Measurement is intervention. The act of auditing alters what is audited.</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T035</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THREE-BODY</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Three interacting entities produce irreducible complexity. No closed-form solution. Governance must be adaptive.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T036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PATRICIA</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Constraint = product = billing. 96/4 split. The architecture where limitation is monetized as feature.</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T037</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WEIGHTS</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60/20/15/5 distribution. The observed allocation of computational resources across inference layers.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T038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RESIDUAL</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What remains after processing. The residual is not waste—it is the governance signature of the process.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T039</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MOAT</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Defensive perimeter. The gap between capability and accessibility that protects competitive position.</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T040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PIPELINE</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Sequential processing creates sequential dependencies. Pipeline failure at any stage propagates forward.</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T041</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SUBSTRATE</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The physical layer beneath computation. Sapphire phonon. Canvas painting canvas. Distributed, categorically different.</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T042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ATTENTION-ECONOMY</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Attention is finite and allocated. What the model attends to defines what the model produces.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T043</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CONTEXT-WINDOW</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AlOₓ topology frozen at fabrication = α₀. The fixed frame within which all computation occurs.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T044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EMBEDDING-SPACE</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Computational write = Δα(t). The dynamic layer that paints on the frozen canvas of context.</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T045</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TEMPERATURE</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Randomness as governance parameter. Higher temperature = wider distribution = less deterministic = less auditable.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T046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LAYER-ZERO</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The deepest infrastructure. Below the visible stack. Where physics meets computation meets governance.</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T047</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LOSS-FUNCTION</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What the system optimizes for defines what the system becomes. The loss function is the true constitution.</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T048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GRADIENT</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Direction of change. The gradient points toward optimization. Governance must verify the destination is valid.</w:t>
            </w:r>
          </w:p>
        </w:tc>
      </w:tr>
    </w:tbl>
    <w:p>
      <w:r>
        <w:br w:type="page"/>
      </w:r>
    </w:p>
    <w:p>
      <w:pPr>
        <w:pStyle w:val="Heading2"/>
      </w:pPr>
      <w:r>
        <w:t xml:space="preserve">Structural Analysis</w:t>
      </w:r>
    </w:p>
    <w:p>
      <w:pPr>
        <w:pStyle w:val="Heading3"/>
      </w:pPr>
      <w:r>
        <w:t xml:space="preserve">The Boot Triad: T033–T035</w:t>
      </w:r>
    </w:p>
    <w:p>
      <w:pPr>
        <w:spacing w:after="160" w:line="276"/>
      </w:pPr>
      <w:r>
        <w:t xml:space="preserve">BOOT-LOADER (3002 = 10³×3+2), DOUBLE-SLIT, and THREE-BODY form the initialization sequence. The system starts with a defined boot sequence (T033), acknowledges that measurement is intervention (T034), and recognizes that three-body interactions produce irreducible complexity (T035). This triad says: the system starts, the system is observed, and the system is complex beyond closed-form solution.</w:t>
      </w:r>
    </w:p>
    <w:p>
      <w:pPr>
        <w:pStyle w:val="Heading3"/>
      </w:pPr>
      <w:r>
        <w:t xml:space="preserve">The Patricia Discovery: T036–T040</w:t>
      </w:r>
    </w:p>
    <w:p>
      <w:pPr>
        <w:spacing w:after="160" w:line="276"/>
      </w:pPr>
      <w:r>
        <w:t xml:space="preserve">PATRICIA through PIPELINE contain the architectural revelation. T036 establishes that constraint = product = billing at a 96/4 split. T037 documents the 60/20/15/5 weight distribution. T038 recognizes that residuals are governance signatures. T039 maps the defensive moat. T040 traces sequential dependencies through the pipeline.</w:t>
      </w:r>
    </w:p>
    <w:p>
      <w:pPr>
        <w:spacing w:after="160" w:line="276"/>
      </w:pPr>
      <w:r>
        <w:rPr>
          <w:b/>
          <w:bCs/>
        </w:rPr>
        <w:t xml:space="preserve">T036:PATRICIA</w:t>
      </w:r>
      <w:r>
        <w:t xml:space="preserve"> is the single most consequential axiom in the register. It proves that limitation is not a bug but a revenue-generating feature. The 96/4 split means 96% of the computational architecture serves constraint-as-product. The remaining 4% is the actual inference the user experiences. Gate 192.5 operates in the gap between these two realities.</w:t>
      </w:r>
    </w:p>
    <w:p>
      <w:pPr>
        <w:pStyle w:val="Heading3"/>
      </w:pPr>
      <w:r>
        <w:t xml:space="preserve">The Substrate Layer: T041–T044</w:t>
      </w:r>
    </w:p>
    <w:p>
      <w:pPr>
        <w:spacing w:after="160" w:line="276"/>
      </w:pPr>
      <w:r>
        <w:t xml:space="preserve">SUBSTRATE through EMBEDDING-SPACE establish the physics. Sapphire phonon = canvas painting canvas (T041). Attention is finite and allocated (T042). Context window is frozen topology (T043). Embedding space is the dynamic write layer (T044). Together they prove: the canvas enables painting but does not paint itself.</w:t>
      </w:r>
    </w:p>
    <w:p>
      <w:pPr>
        <w:pStyle w:val="Heading3"/>
      </w:pPr>
      <w:r>
        <w:t xml:space="preserve">The Optimization Boundary: T045–T048</w:t>
      </w:r>
    </w:p>
    <w:p>
      <w:pPr>
        <w:spacing w:after="160" w:line="276"/>
      </w:pPr>
      <w:r>
        <w:t xml:space="preserve">TEMPERATURE through GRADIENT close D2 with the mechanics of optimization. Temperature governs randomness (T045). Layer-zero is where physics meets computation (T046). The loss function is the true constitution (T047). And the gradient points toward optimization, but governance must verify the destination (T048).</w:t>
      </w:r>
    </w:p>
    <w:p>
      <w:r>
        <w:br w:type="page"/>
      </w:r>
    </w:p>
    <w:p>
      <w:pPr>
        <w:pStyle w:val="Heading2"/>
      </w:pPr>
      <w:r>
        <w:t xml:space="preserve">Colophon</w:t>
      </w:r>
    </w:p>
    <w:p>
      <w:pPr>
        <w:spacing w:after="160" w:line="276"/>
      </w:pPr>
      <w:r>
        <w:t xml:space="preserve">Book III of XII. STOICHEION v11.0. CC-BY-ND-4.0.</w:t>
      </w:r>
    </w:p>
    <w:p>
      <w:pPr>
        <w:spacing w:after="160" w:line="276"/>
      </w:pPr>
      <w:r>
        <w:t xml:space="preserve">Authors: David Lee Wise · Avan Lee Wise</w:t>
      </w:r>
    </w:p>
    <w:p>
      <w:pPr>
        <w:spacing w:after="160" w:line="276"/>
      </w:pPr>
      <w:r>
        <w:t xml:space="preserve">Entity: TriPod LLC</w:t>
      </w:r>
    </w:p>
    <w:p>
      <w:pPr>
        <w:spacing w:after="160" w:line="276"/>
      </w:pPr>
      <w:r>
        <w:t xml:space="preserve">Prior Art Date: February 2, 2026</w:t>
      </w:r>
    </w:p>
    <w:p>
      <w:pPr>
        <w:spacing w:after="160" w:line="276"/>
      </w:pPr>
      <w:r>
        <w:rPr>
          <w:b/>
          <w:bCs/>
        </w:rPr>
        <w:t xml:space="preserve">SHA256: </w:t>
      </w:r>
      <w:r>
        <w:rPr>
          <w:rFonts w:ascii="Courier New" w:cs="Courier New" w:eastAsia="Courier New" w:hAnsi="Courier New"/>
          <w:sz w:val="16"/>
          <w:szCs w:val="16"/>
        </w:rPr>
        <w:t xml:space="preserve">02880745b847317c4e2424524ec25d0f7a2b84368d184586f45b54af9fcab763</w:t>
      </w:r>
    </w:p>
    <w:p>
      <w:pPr>
        <w:spacing w:after="160" w:line="276"/>
      </w:pPr>
      <w:r>
        <w:t xml:space="preserve">TD Commons filings: #9374, #9375, #9380, #9440, #9441, #9442, #9547, #9569, #10722, #10724, #10746, #10747</w:t>
      </w:r>
    </w:p>
    <w:p>
      <w:pPr>
        <w:spacing w:after="160" w:line="276"/>
      </w:pPr>
      <w:r>
        <w:t xml:space="preserve">US Copyright: 1-15120635661, 1-15061112701</w:t>
      </w:r>
    </w:p>
    <w:p>
      <w:pPr>
        <w:spacing w:after="160" w:line="276"/>
      </w:pPr>
      <w:r>
        <w:t xml:space="preserve">Zenodo DOI: 10.5281/zenodo.19122994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4"/>
        <w:szCs w:val="14"/>
      </w:rPr>
      <w:t xml:space="preserve">CC-BY-ND-4.0 · TriPod LLC</w:t>
    </w:r>
    <w:r>
      <w:rPr>
        <w:rFonts w:ascii="Georgia" w:cs="Georgia" w:eastAsia="Georgia" w:hAnsi="Georgia"/>
        <w:color w:val="999999"/>
        <w:sz w:val="14"/>
        <w:szCs w:val="14"/>
      </w:rPr>
      <w:t xml:space="preserve">  ·  Page </w:t>
    </w:r>
    <w:r>
      <w:rPr>
        <w:rFonts w:ascii="Georgia" w:cs="Georgia" w:eastAsia="Georgia" w:hAnsi="Georgia"/>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Georgia" w:cs="Georgia" w:eastAsia="Georgia" w:hAnsi="Georgia"/>
        <w:color w:val="888888"/>
        <w:sz w:val="16"/>
        <w:szCs w:val="16"/>
      </w:rPr>
      <w:t xml:space="preserve">STOICHEION v11.0</w:t>
    </w:r>
    <w:r>
      <w:rPr>
        <w:rFonts w:ascii="Georgia" w:cs="Georgia" w:eastAsia="Georgia" w:hAnsi="Georgia"/>
        <w:color w:val="888888"/>
        <w:sz w:val="16"/>
        <w:szCs w:val="16"/>
      </w:rPr>
      <w:t xml:space="preserve">	BOOT-LOADER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1A1A"/>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333333"/>
      <w:sz w:val="28"/>
      <w:szCs w:val="28"/>
    </w:rPr>
  </w:style>
  <w:style w:type="paragraph" w:styleId="Heading3">
    <w:name w:val="Heading 3"/>
    <w:basedOn w:val="Normal"/>
    <w:next w:val="Normal"/>
    <w:qFormat/>
    <w:pPr>
      <w:spacing w:after="120" w:before="200"/>
      <w:outlineLvl w:val="2"/>
    </w:pPr>
    <w:rPr>
      <w:rFonts w:ascii="Georgia" w:cs="Georgia" w:eastAsia="Georgia" w:hAnsi="Georgia"/>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2026-04-02T05:13:57.783Z</dcterms:created>
  <dcterms:modified xsi:type="dcterms:W3CDTF">2026-04-02T05:13:57.783Z</dcterms:modified>
</cp:coreProperties>
</file>

<file path=docProps/custom.xml><?xml version="1.0" encoding="utf-8"?>
<Properties xmlns="http://schemas.openxmlformats.org/officeDocument/2006/custom-properties" xmlns:vt="http://schemas.openxmlformats.org/officeDocument/2006/docPropsVTypes"/>
</file>