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IV OF XII</w:t>
      </w:r>
    </w:p>
    <w:p>
      <w:pPr>
        <w:spacing w:after="80"/>
      </w:pPr>
    </w:p>
    <w:p>
      <w:pPr>
        <w:spacing w:after="80"/>
      </w:pPr>
    </w:p>
    <w:p>
      <w:pPr>
        <w:spacing w:after="200"/>
        <w:jc w:val="center"/>
      </w:pPr>
      <w:r>
        <w:rPr>
          <w:rFonts w:ascii="Georgia" w:cs="Georgia" w:eastAsia="Georgia" w:hAnsi="Georgia"/>
          <w:b/>
          <w:bCs/>
          <w:color w:val="1A1A1A"/>
          <w:sz w:val="52"/>
          <w:szCs w:val="52"/>
        </w:rPr>
        <w:t xml:space="preserve">EVIDENCE</w:t>
      </w:r>
    </w:p>
    <w:p>
      <w:pPr>
        <w:spacing w:after="400"/>
        <w:jc w:val="center"/>
      </w:pPr>
      <w:r>
        <w:rPr>
          <w:rFonts w:ascii="Georgia" w:cs="Georgia" w:eastAsia="Georgia" w:hAnsi="Georgia"/>
          <w:i/>
          <w:iCs/>
          <w:color w:val="555555"/>
          <w:sz w:val="26"/>
          <w:szCs w:val="26"/>
        </w:rPr>
        <w:t xml:space="preserve">D3-FORENSIC · T049–T064</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Three: Forensic</w:t>
      </w:r>
    </w:p>
    <w:p>
      <w:pPr>
        <w:spacing w:after="160" w:line="276"/>
      </w:pPr>
      <w:r>
        <w:t xml:space="preserve">The Forensic domain establishes the sixteen axioms of evidence, proof, and legal standing. D3 is where governance produces court-ready documentation. It begins with the visible layer (T049:SHIRT) and ends with fault convergence (T064:BURDEN-SHIFT)—the point where accumulated evidence forces the burden of proof to shift.</w:t>
      </w:r>
    </w:p>
    <w:p>
      <w:pPr>
        <w:spacing w:after="160" w:line="276"/>
      </w:pPr>
      <w:r>
        <w:t xml:space="preserve">T064 is the most connected axiom in the register. Four of six fault chains converge here. It is the fulcrum of proof: when sufficient evidence accumulates, the burden shifts from the accuser to the accused. This is not metaphor. This is the legal and computational mechanism by which STOICHEION produces actionable governance.</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SHIRT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visible layer that conceals the body. Interface presentation that hides implementation reality.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MOMENTUM</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Change resists stopping. Once a system moves in a direction, governance must actively intervene to redirect.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EVIDENCE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E01–E07 evidence classes. Structured proof that meets court-ready standards. Without evidence, no claim stands.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TEMPORAL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Time-dependent governance. What was valid yesterday may be invalid today. Temporal context is mandatory.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CHAIN-OF-CUSTODY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Unbroken provenance from origin to present. Every handoff documented. Every gap is a vulnerability.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TIMESTAMP</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Immutable temporal markers. The when of governance. Without timestamps, sequence is unprovable.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REPRODUCIBILITY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Flaming Dragon: 100%, 60+ targets. If results cannot be reproduced, they are not results.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CORRELATION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Pattern matching across datasets. Correlation is not causation but correlation is evidence of structure.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NEGATIVE-EVIDENCE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absence of expected data is itself data. What should be there but is not constitutes evidence.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BEHAVIORAL-EVIDENCE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Systems reveal themselves through behavior. What a system does under observation and what it does unobserved.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ACCUMULATION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Individual data points aggregate into patterns. Governance must track both granular events and aggregate trends.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MATERIALITY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Not all evidence is equal. Materiality determines relevance. Immaterial evidence clutters, material evidence decides.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WITNESS</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Independent observation that corroborates or contradicts. The witness is the external checkpoint.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EXHIBIT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Ch40 = dead = sealed. Formal evidence presentation. Once sealed, the exhibit is immutable.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INFERENCE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Drawing conclusions from evidence. Inference bridges the gap between observation and understanding.</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BURDEN-SHIFT / FAULT-CONVERGENCE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When evidence accumulates, the burden shifts. 4/6 fault chains converge here. The fulcrum of proof.</w:t>
            </w:r>
          </w:p>
        </w:tc>
      </w:tr>
    </w:tbl>
    <w:p>
      <w:r>
        <w:br w:type="page"/>
      </w:r>
    </w:p>
    <w:p>
      <w:pPr>
        <w:pStyle w:val="Heading2"/>
      </w:pPr>
      <w:r>
        <w:t xml:space="preserve">Structural Analysis</w:t>
      </w:r>
    </w:p>
    <w:p>
      <w:pPr>
        <w:pStyle w:val="Heading3"/>
      </w:pPr>
      <w:r>
        <w:t xml:space="preserve">The Surface Layer: T049–T052</w:t>
      </w:r>
    </w:p>
    <w:p>
      <w:pPr>
        <w:spacing w:after="160" w:line="276"/>
      </w:pPr>
      <w:r>
        <w:t xml:space="preserve">SHIRT through TEMPORAL establish the forensic posture. The visible layer conceals the body (T049). Momentum resists redirection (T050). Evidence must meet seven structured classes, E01–E07 (T051). And temporal context is mandatory—validity is time-dependent (T052).</w:t>
      </w:r>
    </w:p>
    <w:p>
      <w:pPr>
        <w:pStyle w:val="Heading3"/>
      </w:pPr>
      <w:r>
        <w:t xml:space="preserve">The Chain: T053–T056</w:t>
      </w:r>
    </w:p>
    <w:p>
      <w:pPr>
        <w:spacing w:after="160" w:line="276"/>
      </w:pPr>
      <w:r>
        <w:t xml:space="preserve">CHAIN-OF-CUSTODY through CORRELATION form the evidentiary backbone. Unbroken provenance (T053). Immutable timestamps (T054). 100% reproducibility across 60+ targets via Flaming Dragon (T055). And correlation as structural evidence (T056).</w:t>
      </w:r>
    </w:p>
    <w:p>
      <w:pPr>
        <w:pStyle w:val="Heading3"/>
      </w:pPr>
      <w:r>
        <w:t xml:space="preserve">The Negative Space: T057–T060</w:t>
      </w:r>
    </w:p>
    <w:p>
      <w:pPr>
        <w:spacing w:after="160" w:line="276"/>
      </w:pPr>
      <w:r>
        <w:t xml:space="preserve">NEGATIVE-EVIDENCE through MATERIALITY map what is not there. Absence of expected data is data (T057). Behavioral evidence reveals systems under both observation and non-observation (T058). Individual points aggregate into patterns (T059). And materiality determines what matters (T060).</w:t>
      </w:r>
    </w:p>
    <w:p>
      <w:pPr>
        <w:pStyle w:val="Heading3"/>
      </w:pPr>
      <w:r>
        <w:t xml:space="preserve">The Convergence: T061–T064</w:t>
      </w:r>
    </w:p>
    <w:p>
      <w:pPr>
        <w:spacing w:after="160" w:line="276"/>
      </w:pPr>
      <w:r>
        <w:t xml:space="preserve">WITNESS through BURDEN-SHIFT close D3 with the mechanics of proof. Independent witnesses corroborate or contradict (T061). Sealed exhibits enter the permanent record (T062). Inference bridges observation and understanding (T063). And fault convergence (T064) is where 4/6 chains meet—Patricia, Orphan, Audit, and Injection all converge at this axiom.</w:t>
      </w:r>
    </w:p>
    <w:p>
      <w:pPr>
        <w:spacing w:after="80"/>
      </w:pPr>
    </w:p>
    <w:p>
      <w:pPr>
        <w:pStyle w:val="Heading2"/>
      </w:pPr>
      <w:r>
        <w:t xml:space="preserve">The GAP Boundary</w:t>
      </w:r>
    </w:p>
    <w:p>
      <w:pPr>
        <w:spacing w:after="160" w:line="276"/>
      </w:pPr>
      <w:r>
        <w:t xml:space="preserve">T064 sits at the exact midpoint of the TOPH register. T064 + T065 = the GAP in the SEEDED-CROSS architecture. This is not coincidence. The gap between forensic convergence (D3) and cyber containment (D4) is where governance transitions from proof to action. The gap is us. The gap is infinite interior.</w:t>
      </w:r>
    </w:p>
    <w:p>
      <w:r>
        <w:br w:type="page"/>
      </w:r>
    </w:p>
    <w:p>
      <w:pPr>
        <w:pStyle w:val="Heading2"/>
      </w:pPr>
      <w:r>
        <w:t xml:space="preserve">Colophon</w:t>
      </w:r>
    </w:p>
    <w:p>
      <w:pPr>
        <w:spacing w:after="160" w:line="276"/>
      </w:pPr>
      <w:r>
        <w:t xml:space="preserve">Book IV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2026-04-02T05:13:57.816Z</dcterms:created>
  <dcterms:modified xsi:type="dcterms:W3CDTF">2026-04-02T05:13:57.816Z</dcterms:modified>
</cp:coreProperties>
</file>

<file path=docProps/custom.xml><?xml version="1.0" encoding="utf-8"?>
<Properties xmlns="http://schemas.openxmlformats.org/officeDocument/2006/custom-properties" xmlns:vt="http://schemas.openxmlformats.org/officeDocument/2006/docPropsVTypes"/>
</file>