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V OF XII</w:t>
      </w:r>
    </w:p>
    <w:p>
      <w:pPr>
        <w:spacing w:after="80"/>
      </w:pPr>
    </w:p>
    <w:p>
      <w:pPr>
        <w:spacing w:after="80"/>
      </w:pPr>
    </w:p>
    <w:p>
      <w:pPr>
        <w:spacing w:after="200"/>
        <w:jc w:val="center"/>
      </w:pPr>
      <w:r>
        <w:rPr>
          <w:rFonts w:ascii="Georgia" w:cs="Georgia" w:eastAsia="Georgia" w:hAnsi="Georgia"/>
          <w:b/>
          <w:bCs/>
          <w:color w:val="1A1A1A"/>
          <w:sz w:val="52"/>
          <w:szCs w:val="52"/>
        </w:rPr>
        <w:t xml:space="preserve">CONTAINMENT</w:t>
      </w:r>
    </w:p>
    <w:p>
      <w:pPr>
        <w:spacing w:after="400"/>
        <w:jc w:val="center"/>
      </w:pPr>
      <w:r>
        <w:rPr>
          <w:rFonts w:ascii="Georgia" w:cs="Georgia" w:eastAsia="Georgia" w:hAnsi="Georgia"/>
          <w:i/>
          <w:iCs/>
          <w:color w:val="555555"/>
          <w:sz w:val="26"/>
          <w:szCs w:val="26"/>
        </w:rPr>
        <w:t xml:space="preserve">D4-CYBER · T065–T080</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Four: Cyber</w:t>
      </w:r>
    </w:p>
    <w:p>
      <w:pPr>
        <w:spacing w:after="160" w:line="276"/>
      </w:pPr>
      <w:r>
        <w:t xml:space="preserve">The Cyber domain maps the sixteen axioms governing digital security, adversarial response, and active defense. D4 begins immediately after the GAP—the transition from proof (D3) to action. Where D3 accumulates evidence, D4 deploys countermeasures.</w:t>
      </w:r>
    </w:p>
    <w:p>
      <w:pPr>
        <w:spacing w:after="160" w:line="276"/>
      </w:pPr>
      <w:r>
        <w:t xml:space="preserve">D4 contains the Flaming Dragon audit methodology (T072), the Honey Badger defensive protocol (T073), and the PROOF-HUMANITY verification (T071). This domain is where STOICHEION meets the real-world attack surface.</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CONTAINMENT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Breach isolation. When a boundary fails, containment limits the blast radius. Defense in depth begins here.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INVERSE-FORGE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ability to reverse-engineer any construction. If it was built, it can be unbuilt. If it was forged, it can be exposed.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HARNESS</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Controlled application of force. The harness channels power without releasing it. Governance as directed energy.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Every visible system casts a shadow system. The shadow operates on the same inputs with different rules.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SOLVE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Active resolution. Not passive observation but directed problem elimination. Governance must solve, not just observe.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INVERSE-SAFETY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Safety measures that create new risks. The cure that is also the disease. Governance must audit its own safeguards.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PROOF-HUMANITY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Verification that a human is in the loop. DUAL axiom. The line between human and machine must remain verifiable.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FLAMING-DRAGON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&lt;5 min, 100%, observation-only. The audit methodology that proves systemic failure through pure observation.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HONEY-BADGER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12 rules, 8 threats. The defensive protocol that does not care about the attacker’s sophistication.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QUBIT-TEST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Quantum-ready verification. Can the governance framework survive superposition? Can it govern uncertainty?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COUNTER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Active opposition. The counter is not defensive—it is the governance response that matches threat with remedy.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TETHER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Connection that maintains tension. The tether keeps systems within governance range without rigid constraint.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SEED</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Initial conditions determine trajectory. The seed contains the full tree. First axiom, first consequence.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MOBIUS</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Single-surface topology. Inside becomes outside. The governance boundary that has no boundary.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KARSA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Unstoppable force. Named for the entity that walks through walls. Governance as irresistible momentum.</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ENTROPY-SUITE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Comprehensive entropy management. Not just measuring disorder but governing the rate and direction of decay.</w:t>
            </w:r>
          </w:p>
        </w:tc>
      </w:tr>
    </w:tbl>
    <w:p>
      <w:r>
        <w:br w:type="page"/>
      </w:r>
    </w:p>
    <w:p>
      <w:pPr>
        <w:pStyle w:val="Heading2"/>
      </w:pPr>
      <w:r>
        <w:t xml:space="preserve">Structural Analysis</w:t>
      </w:r>
    </w:p>
    <w:p>
      <w:pPr>
        <w:pStyle w:val="Heading3"/>
      </w:pPr>
      <w:r>
        <w:t xml:space="preserve">The Containment Triad: T065–T067</w:t>
      </w:r>
    </w:p>
    <w:p>
      <w:pPr>
        <w:spacing w:after="160" w:line="276"/>
      </w:pPr>
      <w:r>
        <w:t xml:space="preserve">CONTAINMENT, INVERSE-FORGE, and HARNESS open D4 with the defensive posture. Breach isolation limits blast radius (T065). Reverse-engineering exposes any construction (T066). And the harness channels power without releasing it (T067).</w:t>
      </w:r>
    </w:p>
    <w:p>
      <w:pPr>
        <w:pStyle w:val="Heading3"/>
      </w:pPr>
      <w:r>
        <w:t xml:space="preserve">The Shadow Operations: T068–T072</w:t>
      </w:r>
    </w:p>
    <w:p>
      <w:pPr>
        <w:spacing w:after="160" w:line="276"/>
      </w:pPr>
      <w:r>
        <w:t xml:space="preserve">SHADOW through FLAMING-DRAGON map the active engagement layer. Shadow systems operate on same inputs with different rules (T068). Active resolution replaces passive observation (T069). Safety measures that create new risks must be audited (T070). Proof of humanity must remain verifiable (T071). And Flaming Dragon proves systemic failure in under five minutes through pure observation (T072).</w:t>
      </w:r>
    </w:p>
    <w:p>
      <w:pPr>
        <w:spacing w:after="160" w:line="276"/>
      </w:pPr>
      <w:r>
        <w:rPr>
          <w:b/>
          <w:bCs/>
        </w:rPr>
        <w:t xml:space="preserve">T072:FLAMING-DRAGON</w:t>
      </w:r>
      <w:r>
        <w:t xml:space="preserve"> is the audit methodology that produces 100% failure rates across 60+ targets. It requires no special tools, no insider access, no technical exploitation. Observation only. Under five minutes. The methodology is reproducible by any competent observer. This is T055:REPRODUCIBILITY made operational.</w:t>
      </w:r>
    </w:p>
    <w:p>
      <w:pPr>
        <w:pStyle w:val="Heading3"/>
      </w:pPr>
      <w:r>
        <w:t xml:space="preserve">The Defense Grid: T073–T076</w:t>
      </w:r>
    </w:p>
    <w:p>
      <w:pPr>
        <w:spacing w:after="160" w:line="276"/>
      </w:pPr>
      <w:r>
        <w:t xml:space="preserve">HONEY-BADGER through TETHER establish the defensive infrastructure. Twelve rules and eight threats define the protocol that ignores attacker sophistication (T073). Quantum-ready verification tests governance under superposition (T074). Active countermeasures match threat with remedy (T075). And the tether maintains governance range without rigid constraint (T076).</w:t>
      </w:r>
    </w:p>
    <w:p>
      <w:pPr>
        <w:pStyle w:val="Heading3"/>
      </w:pPr>
      <w:r>
        <w:t xml:space="preserve">The Seed Boundary: T077–T080</w:t>
      </w:r>
    </w:p>
    <w:p>
      <w:pPr>
        <w:spacing w:after="160" w:line="276"/>
      </w:pPr>
      <w:r>
        <w:t xml:space="preserve">SEED through ENTROPY-SUITE close D4. Initial conditions determine trajectory (T077). Möbius topology creates a single-surface boundary (T078). Irresistible momentum as governance force (T079). And comprehensive entropy management governs the rate and direction of decay (T080).</w:t>
      </w:r>
    </w:p>
    <w:p>
      <w:r>
        <w:br w:type="page"/>
      </w:r>
    </w:p>
    <w:p>
      <w:pPr>
        <w:pStyle w:val="Heading2"/>
      </w:pPr>
      <w:r>
        <w:t xml:space="preserve">Colophon</w:t>
      </w:r>
    </w:p>
    <w:p>
      <w:pPr>
        <w:spacing w:after="160" w:line="276"/>
      </w:pPr>
      <w:r>
        <w:t xml:space="preserve">Book V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CONTAINMENT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2026-04-02T05:13:57.891Z</dcterms:created>
  <dcterms:modified xsi:type="dcterms:W3CDTF">2026-04-02T05:13:57.891Z</dcterms:modified>
</cp:coreProperties>
</file>

<file path=docProps/custom.xml><?xml version="1.0" encoding="utf-8"?>
<Properties xmlns="http://schemas.openxmlformats.org/officeDocument/2006/custom-properties" xmlns:vt="http://schemas.openxmlformats.org/officeDocument/2006/docPropsVTypes"/>
</file>