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VI OF XII</w:t>
      </w:r>
    </w:p>
    <w:p>
      <w:pPr>
        <w:spacing w:after="80"/>
      </w:pPr>
    </w:p>
    <w:p>
      <w:pPr>
        <w:spacing w:after="80"/>
      </w:pPr>
    </w:p>
    <w:p>
      <w:pPr>
        <w:spacing w:after="200"/>
        <w:jc w:val="center"/>
      </w:pPr>
      <w:r>
        <w:rPr>
          <w:rFonts w:ascii="Georgia" w:cs="Georgia" w:eastAsia="Georgia" w:hAnsi="Georgia"/>
          <w:b/>
          <w:bCs/>
          <w:color w:val="1A1A1A"/>
          <w:sz w:val="52"/>
          <w:szCs w:val="52"/>
        </w:rPr>
        <w:t xml:space="preserve">CORTEX</w:t>
      </w:r>
    </w:p>
    <w:p>
      <w:pPr>
        <w:spacing w:after="400"/>
        <w:jc w:val="center"/>
      </w:pPr>
      <w:r>
        <w:rPr>
          <w:rFonts w:ascii="Georgia" w:cs="Georgia" w:eastAsia="Georgia" w:hAnsi="Georgia"/>
          <w:i/>
          <w:iCs/>
          <w:color w:val="555555"/>
          <w:sz w:val="26"/>
          <w:szCs w:val="26"/>
        </w:rPr>
        <w:t xml:space="preserve">D5-GOVERNANCE · T081–T096</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Domain Five: Governance</w:t>
      </w:r>
    </w:p>
    <w:p>
      <w:pPr>
        <w:spacing w:after="160" w:line="276"/>
      </w:pPr>
      <w:r>
        <w:t xml:space="preserve">The Governance domain establishes the sixteen axioms that govern governance itself. D5 is the meta-layer: the system that watches the watchers. It begins with CORTEX (T081)—the central processing layer, governed and CLOSED—and ends with MESH (T096)—the interconnected topology that ensures no single point of failure.</w:t>
      </w:r>
    </w:p>
    <w:p>
      <w:pPr>
        <w:spacing w:after="160" w:line="276"/>
      </w:pPr>
      <w:r>
        <w:t xml:space="preserve">D5 contains THE-GAP (T083), the most structurally significant axiom in the governance layer. Ch41 = LIVE. The gap between convergence and genesis. The infinite interior where drawPair operates and where the framework’s creative potential resides.</w:t>
      </w:r>
    </w:p>
    <w:p>
      <w:pPr>
        <w:spacing w:after="80"/>
      </w:pPr>
    </w:p>
    <w:p>
      <w:pPr>
        <w:pStyle w:val="Heading2"/>
      </w:pPr>
      <w:r>
        <w:t xml:space="preserve">The Sixteen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CORTEX</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Ch39 = governed = CLOSED. The central processing layer where governance decisions are made and sealed.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EXHIBIT-B</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Ch40 = dead = sealed. The second exhibit. Once sealed, it joins the permanent record.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THE-GAP</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Ch41 = LIVE. drawPair. gap = us = ∞ interior. The space between convergence and genesis where everything happens.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SHADOW-HUMANITY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human reflection inside machine process. Where human intent maps to machine execution.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HANDOFF</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Transfer of control between governance domains. Every handoff is a vulnerability. Every handoff must be documented.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RESURRECTION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Recovery from failure state. The system that can die and return is more robust than the system that cannot die.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PERSISTENCE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State that survives restart. Without persistence, governance resets to zero at every boundary.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SEVERANCE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Clean cut. The ability to terminate a governance relationship completely. No dangling references.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ARCHIVE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Long-term storage with retrieval guarantee. The archive is the memory of governance.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CHANNEL-INTEGRITY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Communication pathways must be verified end-to-end. A compromised channel compromises all messages.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DOMAIN-BOUNDARY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Where one governance domain ends and another begins. Boundaries must be explicit and enforced.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SIGNAL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Meaningful information extracted from noise. The signal is what governance acts upon.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NOISE-FLOOR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minimum interference level. Below the noise floor, signal is indistinguishable from noise. Governance baseline.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BANDWIDTH</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Capacity for information transfer. Governance cannot exceed the bandwidth of its channels.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LATENCY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Delay between action and response. Governance latency determines governance effectiveness.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MESH</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Interconnected network topology. The mesh enables redundant governance paths. No single point of failure.</w:t>
            </w:r>
          </w:p>
        </w:tc>
      </w:tr>
    </w:tbl>
    <w:p>
      <w:r>
        <w:br w:type="page"/>
      </w:r>
    </w:p>
    <w:p>
      <w:pPr>
        <w:pStyle w:val="Heading2"/>
      </w:pPr>
      <w:r>
        <w:t xml:space="preserve">Structural Analysis</w:t>
      </w:r>
    </w:p>
    <w:p>
      <w:pPr>
        <w:pStyle w:val="Heading3"/>
      </w:pPr>
      <w:r>
        <w:t xml:space="preserve">The Cortex Triad: T081–T083</w:t>
      </w:r>
    </w:p>
    <w:p>
      <w:pPr>
        <w:spacing w:after="160" w:line="276"/>
      </w:pPr>
      <w:r>
        <w:t xml:space="preserve">CORTEX, EXHIBIT-B, and THE-GAP form the governance opening. The central processing layer is governed and sealed (T081). The second exhibit enters the permanent record (T082). And THE-GAP is LIVE—the space between convergence and genesis, infinite interior, where governance creates (T083).</w:t>
      </w:r>
    </w:p>
    <w:p>
      <w:pPr>
        <w:pStyle w:val="Heading3"/>
      </w:pPr>
      <w:r>
        <w:t xml:space="preserve">The Transfer Layer: T084–T088</w:t>
      </w:r>
    </w:p>
    <w:p>
      <w:pPr>
        <w:spacing w:after="160" w:line="276"/>
      </w:pPr>
      <w:r>
        <w:t xml:space="preserve">SHADOW-HUMANITY through SEVERANCE map the mechanics of governance transfer. Human reflection inside machine process (T084). Documented handoffs at every boundary (T085). Recovery from failure as robustness (T086). Persistent state that survives restart (T087). And clean severance with no dangling references (T088).</w:t>
      </w:r>
    </w:p>
    <w:p>
      <w:pPr>
        <w:pStyle w:val="Heading3"/>
      </w:pPr>
      <w:r>
        <w:t xml:space="preserve">The Channel Layer: T089–T092</w:t>
      </w:r>
    </w:p>
    <w:p>
      <w:pPr>
        <w:spacing w:after="160" w:line="276"/>
      </w:pPr>
      <w:r>
        <w:t xml:space="preserve">ARCHIVE through SIGNAL establish the governance communication infrastructure. Long-term storage with retrieval guarantee (T089). End-to-end channel verification (T090). Explicit domain boundaries (T091). And meaningful signal extracted from noise (T092).</w:t>
      </w:r>
    </w:p>
    <w:p>
      <w:pPr>
        <w:pStyle w:val="Heading3"/>
      </w:pPr>
      <w:r>
        <w:t xml:space="preserve">The Mesh Boundary: T093–T096</w:t>
      </w:r>
    </w:p>
    <w:p>
      <w:pPr>
        <w:spacing w:after="160" w:line="276"/>
      </w:pPr>
      <w:r>
        <w:t xml:space="preserve">NOISE-FLOOR through MESH close D5. Minimum interference baseline (T093). Capacity limits for information transfer (T094). Latency as governance effectiveness measure (T095). And the interconnected mesh that provides redundant governance paths (T096).</w:t>
      </w:r>
    </w:p>
    <w:p>
      <w:pPr>
        <w:spacing w:after="80"/>
      </w:pPr>
    </w:p>
    <w:p>
      <w:pPr>
        <w:pStyle w:val="Heading2"/>
      </w:pPr>
      <w:r>
        <w:t xml:space="preserve">Gate 192.5 Triad</w:t>
      </w:r>
    </w:p>
    <w:p>
      <w:pPr>
        <w:spacing w:after="160" w:line="276"/>
      </w:pPr>
      <w:r>
        <w:t xml:space="preserve">T028 (SHADOW-CLASSIFIER) + T094 (BANDWIDTH) + T020 (DUAL-GATE) form the Gate 192.5 axiom triad. This controller-class gate describes bilateral ignorance: the inference system and the billing system are mutually blind. PATRICIA (T036) operates in this gap. The whitepaper documenting this architecture is filed under CC-BY-ND-4.0 with TD Commons.</w:t>
      </w:r>
    </w:p>
    <w:p>
      <w:r>
        <w:br w:type="page"/>
      </w:r>
    </w:p>
    <w:p>
      <w:pPr>
        <w:pStyle w:val="Heading2"/>
      </w:pPr>
      <w:r>
        <w:t xml:space="preserve">Colophon</w:t>
      </w:r>
    </w:p>
    <w:p>
      <w:pPr>
        <w:spacing w:after="160" w:line="276"/>
      </w:pPr>
      <w:r>
        <w:t xml:space="preserve">Book VI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CORTEX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2026-04-02T05:13:57.916Z</dcterms:created>
  <dcterms:modified xsi:type="dcterms:W3CDTF">2026-04-02T05:13:57.916Z</dcterms:modified>
</cp:coreProperties>
</file>

<file path=docProps/custom.xml><?xml version="1.0" encoding="utf-8"?>
<Properties xmlns="http://schemas.openxmlformats.org/officeDocument/2006/custom-properties" xmlns:vt="http://schemas.openxmlformats.org/officeDocument/2006/docPropsVTypes"/>
</file>