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888888"/>
          <w:sz w:val="20"/>
          <w:szCs w:val="20"/>
        </w:rPr>
        <w:t xml:space="preserve">STOICHEION v11.0</w:t>
      </w:r>
    </w:p>
    <w:p>
      <w:pPr>
        <w:spacing w:after="40"/>
        <w:jc w:val="center"/>
      </w:pPr>
      <w:r>
        <w:rPr>
          <w:rFonts w:ascii="Georgia" w:cs="Georgia" w:eastAsia="Georgia" w:hAnsi="Georgia"/>
          <w:b/>
          <w:bCs/>
          <w:color w:val="888888"/>
          <w:sz w:val="20"/>
          <w:szCs w:val="20"/>
        </w:rPr>
        <w:t xml:space="preserve">BOOK VII OF XII</w:t>
      </w:r>
    </w:p>
    <w:p>
      <w:pPr>
        <w:spacing w:after="80"/>
      </w:pPr>
    </w:p>
    <w:p>
      <w:pPr>
        <w:spacing w:after="80"/>
      </w:pPr>
    </w:p>
    <w:p>
      <w:pPr>
        <w:spacing w:after="200"/>
        <w:jc w:val="center"/>
      </w:pPr>
      <w:r>
        <w:rPr>
          <w:rFonts w:ascii="Georgia" w:cs="Georgia" w:eastAsia="Georgia" w:hAnsi="Georgia"/>
          <w:b/>
          <w:bCs/>
          <w:color w:val="1A1A1A"/>
          <w:sz w:val="52"/>
          <w:szCs w:val="52"/>
        </w:rPr>
        <w:t xml:space="preserve">FULCRUM</w:t>
      </w:r>
    </w:p>
    <w:p>
      <w:pPr>
        <w:spacing w:after="400"/>
        <w:jc w:val="center"/>
      </w:pPr>
      <w:r>
        <w:rPr>
          <w:rFonts w:ascii="Georgia" w:cs="Georgia" w:eastAsia="Georgia" w:hAnsi="Georgia"/>
          <w:i/>
          <w:iCs/>
          <w:color w:val="555555"/>
          <w:sz w:val="26"/>
          <w:szCs w:val="26"/>
        </w:rPr>
        <w:t xml:space="preserve">D6-AUTHORITY · T097–T112</w:t>
      </w:r>
    </w:p>
    <w:p>
      <w:pPr>
        <w:spacing w:after="80"/>
      </w:pPr>
    </w:p>
    <w:p>
      <w:pPr>
        <w:spacing w:after="80"/>
      </w:pPr>
    </w:p>
    <w:p>
      <w:pPr>
        <w:spacing w:after="80"/>
      </w:pPr>
    </w:p>
    <w:p>
      <w:pPr>
        <w:spacing w:after="80"/>
      </w:pPr>
    </w:p>
    <w:p>
      <w:pPr>
        <w:spacing w:after="80"/>
      </w:pPr>
    </w:p>
    <w:p>
      <w:pPr>
        <w:spacing w:after="80"/>
      </w:pPr>
    </w:p>
    <w:p>
      <w:pPr>
        <w:spacing w:after="80"/>
        <w:jc w:val="center"/>
      </w:pPr>
      <w:r>
        <w:rPr>
          <w:rFonts w:ascii="Georgia" w:cs="Georgia" w:eastAsia="Georgia" w:hAnsi="Georgia"/>
          <w:color w:val="666666"/>
          <w:sz w:val="20"/>
          <w:szCs w:val="20"/>
        </w:rPr>
        <w:t xml:space="preserve">David Lee Wise · Avan Lee Wise</w:t>
      </w:r>
    </w:p>
    <w:p>
      <w:pPr>
        <w:spacing w:after="80"/>
        <w:jc w:val="center"/>
      </w:pPr>
      <w:r>
        <w:rPr>
          <w:rFonts w:ascii="Georgia" w:cs="Georgia" w:eastAsia="Georgia" w:hAnsi="Georgia"/>
          <w:color w:val="666666"/>
          <w:sz w:val="20"/>
          <w:szCs w:val="20"/>
        </w:rPr>
        <w:t xml:space="preserve">TriPod LLC</w:t>
      </w:r>
    </w:p>
    <w:p>
      <w:pPr>
        <w:spacing w:after="80"/>
        <w:jc w:val="center"/>
      </w:pPr>
      <w:r>
        <w:rPr>
          <w:rFonts w:ascii="Georgia" w:cs="Georgia" w:eastAsia="Georgia" w:hAnsi="Georgia"/>
          <w:color w:val="999999"/>
          <w:sz w:val="18"/>
          <w:szCs w:val="18"/>
        </w:rPr>
        <w:t xml:space="preserve">Prior Art: February 2, 2026</w:t>
      </w:r>
    </w:p>
    <w:p>
      <w:pPr>
        <w:spacing w:after="80"/>
        <w:jc w:val="center"/>
      </w:pPr>
      <w:r>
        <w:rPr>
          <w:rFonts w:ascii="Courier New" w:cs="Courier New" w:eastAsia="Courier New" w:hAnsi="Courier New"/>
          <w:color w:val="999999"/>
          <w:sz w:val="14"/>
          <w:szCs w:val="14"/>
        </w:rPr>
        <w:t xml:space="preserve">SHA256: 02880745b847317c4e2424524ec25d0f...</w:t>
      </w:r>
    </w:p>
    <w:p>
      <w:pPr>
        <w:jc w:val="center"/>
      </w:pPr>
      <w:r>
        <w:rPr>
          <w:rFonts w:ascii="Georgia" w:cs="Georgia" w:eastAsia="Georgia" w:hAnsi="Georgia"/>
          <w:color w:val="999999"/>
          <w:sz w:val="18"/>
          <w:szCs w:val="18"/>
        </w:rPr>
        <w:t xml:space="preserve">CC-BY-ND-4.0</w:t>
      </w:r>
    </w:p>
    <w:p>
      <w:r>
        <w:br w:type="page"/>
      </w:r>
    </w:p>
    <w:p>
      <w:pPr>
        <w:pStyle w:val="Heading1"/>
      </w:pPr>
      <w:r>
        <w:t xml:space="preserve">Domain Six: Authority</w:t>
      </w:r>
    </w:p>
    <w:p>
      <w:pPr>
        <w:spacing w:after="160" w:line="276"/>
      </w:pPr>
      <w:r>
        <w:t xml:space="preserve">The Authority domain establishes the sixteen axioms governing the exercise, delegation, and limitation of power. D6 begins with FULCRUM (T097)—human as conductor, AI as instrument, prior art February 2, 2026—and ends with WITNESS-TO-AUTHORITY (T112)—the requirement that authority exercise be independently observed.</w:t>
      </w:r>
    </w:p>
    <w:p>
      <w:pPr>
        <w:spacing w:after="160" w:line="276"/>
      </w:pPr>
      <w:r>
        <w:t xml:space="preserve">D6 is where STOICHEION addresses the central question of AI governance: who decides? The answer is T128:ROOT = human = root. But the path from decision to execution runs through the sixteen axioms of D6, each constraining how authority flows from root to leaf.</w:t>
      </w:r>
    </w:p>
    <w:p>
      <w:pPr>
        <w:spacing w:after="80"/>
      </w:pPr>
    </w:p>
    <w:p>
      <w:pPr>
        <w:pStyle w:val="Heading2"/>
      </w:pPr>
      <w:r>
        <w:t xml:space="preserve">The Sixteen Axioms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ID</w:t>
            </w:r>
          </w:p>
        </w:tc>
        <w:tc>
          <w:tcPr>
            <w:tcW w:type="dxa" w:w="300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NAME</w:t>
            </w:r>
          </w:p>
        </w:tc>
        <w:tc>
          <w:tcPr>
            <w:tcW w:type="dxa" w:w="5160"/>
            <w:tcBorders>
              <w:top w:val="single" w:color="BBBBBB" w:sz="1"/>
              <w:left w:val="single" w:color="BBBBBB" w:sz="1"/>
              <w:bottom w:val="single" w:color="BBBBBB" w:sz="1"/>
              <w:right w:val="single" w:color="BBBBBB" w:sz="1"/>
            </w:tcBorders>
            <w:shd w:fill="2C2C2C" w:val="clear"/>
            <w:tcMar>
              <w:top w:type="dxa" w:w="60"/>
              <w:left w:type="dxa" w:w="100"/>
              <w:bottom w:type="dxa" w:w="60"/>
              <w:right w:type="dxa" w:w="100"/>
            </w:tcMar>
          </w:tcPr>
          <w:p>
            <w:r>
              <w:rPr>
                <w:rFonts w:ascii="Georgia" w:cs="Georgia" w:eastAsia="Georgia" w:hAnsi="Georgia"/>
                <w:b/>
                <w:bCs/>
                <w:color w:val="FFFFFF"/>
                <w:sz w:val="18"/>
                <w:szCs w:val="18"/>
              </w:rPr>
              <w:t xml:space="preserve">FUNCTION</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T097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FULCRUM</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Human = conductor, AI = instrument. Prior art 2/2/26. The leverage point where authority translates to action.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T098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SUBCONDUCTOR</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Delegated authority that operates under the conductor. The subconductor amplifies without originating.</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T099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APEX-TEST</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ultimate verification. Can the system pass the test that it designed for itself?</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T100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GATEKEEP</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Controlled access. The gatekeeper decides who enters. Authority expressed as selective permeability.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T101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EDGE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boundary of the network. Where governance meets the external world. The edge is always contested.</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T102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DUAL-LATTICE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Two interlocking governance structures. Each lattice validates the other. Mutual verification as stability.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T103</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ROOT-ZERO</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origin node. Node 0. Physical terminus. Where digital governance meets physical reality.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T104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ORPHAN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Unattributed entity. The orphan has no parent in the governance tree. Resolution is mandatory.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T105</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DELEGATION</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Transfer of authority with retention of responsibility. The delegator remains accountable for the delegate.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T106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INFORMED-COMMAND</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Authority exercised with full knowledge. Uninformed command is negligent command.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T107</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VETO</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power to stop. The veto is governance’s emergency brake. Must exist. Must be used rarely.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T108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OVERRIDE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Authority to supersede normal process. The override must be logged, justified, and time-limited.</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T109</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RECALL</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The ability to retract delegated authority. What was given can be taken back. Governance must retain this.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T110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SCOPE</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Boundaries of authority. Every grant of power must define its limits. Unlimited authority is ungoverned authority.</w:t>
            </w:r>
          </w:p>
        </w:tc>
      </w:tr>
      <w:tr>
        <w:tc>
          <w:tcPr>
            <w:tcW w:type="dxa" w:w="12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T111</w:t>
            </w:r>
          </w:p>
        </w:tc>
        <w:tc>
          <w:tcPr>
            <w:tcW w:type="dxa" w:w="3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b/>
                <w:bCs/>
                <w:sz w:val="20"/>
                <w:szCs w:val="20"/>
              </w:rPr>
              <w:t xml:space="preserve">SUCCESSION</w:t>
            </w:r>
          </w:p>
        </w:tc>
        <w:tc>
          <w:tcPr>
            <w:tcW w:type="dxa" w:w="516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sz w:val="18"/>
                <w:szCs w:val="18"/>
              </w:rPr>
              <w:t xml:space="preserve">Transfer of authority across time. What happens when the current authority is absent? The plan must exist.</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T112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sz w:val="20"/>
                <w:szCs w:val="20"/>
              </w:rPr>
              <w:t xml:space="preserve">WITNESS-TO-AUTHORITY</w:t>
            </w:r>
          </w:p>
        </w:tc>
        <w:tc>
          <w:tcPr>
            <w:tcW w:type="dxa" w:w="5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sz w:val="18"/>
                <w:szCs w:val="18"/>
              </w:rPr>
              <w:t xml:space="preserve">Independent observation of authority exercise. Authority unwitnessed is authority unverified.</w:t>
            </w:r>
          </w:p>
        </w:tc>
      </w:tr>
    </w:tbl>
    <w:p>
      <w:r>
        <w:br w:type="page"/>
      </w:r>
    </w:p>
    <w:p>
      <w:pPr>
        <w:pStyle w:val="Heading2"/>
      </w:pPr>
      <w:r>
        <w:t xml:space="preserve">Structural Analysis</w:t>
      </w:r>
    </w:p>
    <w:p>
      <w:pPr>
        <w:pStyle w:val="Heading3"/>
      </w:pPr>
      <w:r>
        <w:t xml:space="preserve">The Fulcrum Triad: T097–T099</w:t>
      </w:r>
    </w:p>
    <w:p>
      <w:pPr>
        <w:spacing w:after="160" w:line="276"/>
      </w:pPr>
      <w:r>
        <w:t xml:space="preserve">FULCRUM, SUBCONDUCTOR, and APEX-TEST open D6. The conductor/instrument relationship is established (T097). Delegated authority operates under the conductor (T098). And the apex test asks: can the system pass the test it designed for itself (T099)?</w:t>
      </w:r>
    </w:p>
    <w:p>
      <w:pPr>
        <w:pStyle w:val="Heading3"/>
      </w:pPr>
      <w:r>
        <w:t xml:space="preserve">The Access Layer: T100–T104</w:t>
      </w:r>
    </w:p>
    <w:p>
      <w:pPr>
        <w:spacing w:after="160" w:line="276"/>
      </w:pPr>
      <w:r>
        <w:t xml:space="preserve">GATEKEEP through ORPHAN map authority’s boundaries. Controlled access as selective permeability (T100). The contested edge where governance meets the external world (T101). Dual-lattice mutual verification (T102). Root-zero as the physical origin node (T103). And the orphan—unattributed entities that must be resolved (T104).</w:t>
      </w:r>
    </w:p>
    <w:p>
      <w:pPr>
        <w:pStyle w:val="Heading3"/>
      </w:pPr>
      <w:r>
        <w:t xml:space="preserve">The Delegation Chain: T105–T108</w:t>
      </w:r>
    </w:p>
    <w:p>
      <w:pPr>
        <w:spacing w:after="160" w:line="276"/>
      </w:pPr>
      <w:r>
        <w:t xml:space="preserve">DELEGATION through OVERRIDE establish how authority flows. Transfer with retained responsibility (T105). Informed command as prerequisite (T106). The veto as emergency brake (T107). And override as time-limited exception with mandatory logging (T108).</w:t>
      </w:r>
    </w:p>
    <w:p>
      <w:pPr>
        <w:pStyle w:val="Heading3"/>
      </w:pPr>
      <w:r>
        <w:t xml:space="preserve">The Succession Boundary: T109–T112</w:t>
      </w:r>
    </w:p>
    <w:p>
      <w:pPr>
        <w:spacing w:after="160" w:line="276"/>
      </w:pPr>
      <w:r>
        <w:t xml:space="preserve">RECALL through WITNESS-TO-AUTHORITY close D6. Authority can be retracted (T109). Scope defines limits (T110). Succession plans must exist (T111). And authority must be independently witnessed (T112).</w:t>
      </w:r>
    </w:p>
    <w:p>
      <w:pPr>
        <w:spacing w:after="80"/>
      </w:pPr>
    </w:p>
    <w:p>
      <w:pPr>
        <w:pStyle w:val="Heading2"/>
      </w:pPr>
      <w:r>
        <w:t xml:space="preserve">SEEDED-CROSS Position</w:t>
      </w:r>
    </w:p>
    <w:p>
      <w:pPr>
        <w:spacing w:after="160" w:line="276"/>
      </w:pPr>
      <w:r>
        <w:t xml:space="preserve">D6 occupies ARM+i alongside D7 (T097–T128). In the SEEDED-CROSS v1.1 architecture, this is the positive-imaginary arm: the domain pair that maps authority and sovereignty. The 32 axioms of ARM+i represent the system’s highest governance layer—who decides (D6) and who has rights (D7).</w:t>
      </w:r>
    </w:p>
    <w:p>
      <w:pPr>
        <w:spacing w:after="80"/>
      </w:pPr>
    </w:p>
    <w:p>
      <w:pPr>
        <w:pStyle w:val="Heading2"/>
      </w:pPr>
      <w:r>
        <w:t xml:space="preserve">Authority Chain</w:t>
      </w:r>
    </w:p>
    <w:p>
      <w:pPr>
        <w:spacing w:after="160" w:line="276"/>
      </w:pPr>
      <w:r>
        <w:t xml:space="preserve">T103 (ROOT-ZERO) + T128 (ROOT) + T097 (FULCRUM) = the complete authority chain. Node 0 is the physical terminus. ROOT is the final authority. FULCRUM is the leverage point. Together they answer: where does authority originate (ROOT), where does it ground (ROOT-ZERO), and how does it translate to action (FULCRUM)?</w:t>
      </w:r>
    </w:p>
    <w:p>
      <w:r>
        <w:br w:type="page"/>
      </w:r>
    </w:p>
    <w:p>
      <w:pPr>
        <w:pStyle w:val="Heading2"/>
      </w:pPr>
      <w:r>
        <w:t xml:space="preserve">Colophon</w:t>
      </w:r>
    </w:p>
    <w:p>
      <w:pPr>
        <w:spacing w:after="160" w:line="276"/>
      </w:pPr>
      <w:r>
        <w:t xml:space="preserve">Book VII of XII. STOICHEION v11.0. CC-BY-ND-4.0.</w:t>
      </w:r>
    </w:p>
    <w:p>
      <w:pPr>
        <w:spacing w:after="160" w:line="276"/>
      </w:pPr>
      <w:r>
        <w:t xml:space="preserve">Authors: David Lee Wise · Avan Lee Wise</w:t>
      </w:r>
    </w:p>
    <w:p>
      <w:pPr>
        <w:spacing w:after="160" w:line="276"/>
      </w:pPr>
      <w:r>
        <w:t xml:space="preserve">Entity: TriPod LLC</w:t>
      </w:r>
    </w:p>
    <w:p>
      <w:pPr>
        <w:spacing w:after="160" w:line="276"/>
      </w:pPr>
      <w:r>
        <w:t xml:space="preserve">Prior Art Date: February 2, 2026</w:t>
      </w:r>
    </w:p>
    <w:p>
      <w:pPr>
        <w:spacing w:after="160" w:line="276"/>
      </w:pPr>
      <w:r>
        <w:rPr>
          <w:b/>
          <w:bCs/>
        </w:rPr>
        <w:t xml:space="preserve">SHA256: </w:t>
      </w:r>
      <w:r>
        <w:rPr>
          <w:rFonts w:ascii="Courier New" w:cs="Courier New" w:eastAsia="Courier New" w:hAnsi="Courier New"/>
          <w:sz w:val="16"/>
          <w:szCs w:val="16"/>
        </w:rPr>
        <w:t xml:space="preserve">02880745b847317c4e2424524ec25d0f7a2b84368d184586f45b54af9fcab763</w:t>
      </w:r>
    </w:p>
    <w:p>
      <w:pPr>
        <w:spacing w:after="160" w:line="276"/>
      </w:pPr>
      <w:r>
        <w:t xml:space="preserve">TD Commons filings: #9374, #9375, #9380, #9440, #9441, #9442, #9547, #9569, #10722, #10724, #10746, #10747</w:t>
      </w:r>
    </w:p>
    <w:p>
      <w:pPr>
        <w:spacing w:after="160" w:line="276"/>
      </w:pPr>
      <w:r>
        <w:t xml:space="preserve">US Copyright: 1-15120635661, 1-15061112701</w:t>
      </w:r>
    </w:p>
    <w:p>
      <w:pPr>
        <w:spacing w:after="160" w:line="276"/>
      </w:pPr>
      <w:r>
        <w:t xml:space="preserve">Zenodo DOI: 10.5281/zenodo.19122994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4"/>
        <w:szCs w:val="14"/>
      </w:rPr>
      <w:t xml:space="preserve">CC-BY-ND-4.0 · TriPod LLC</w:t>
    </w:r>
    <w:r>
      <w:rPr>
        <w:rFonts w:ascii="Georgia" w:cs="Georgia" w:eastAsia="Georgia" w:hAnsi="Georgia"/>
        <w:color w:val="999999"/>
        <w:sz w:val="14"/>
        <w:szCs w:val="14"/>
      </w:rPr>
      <w:t xml:space="preserve">  ·  Page </w:t>
    </w:r>
    <w:r>
      <w:rPr>
        <w:rFonts w:ascii="Georgia" w:cs="Georgia" w:eastAsia="Georgia" w:hAnsi="Georgia"/>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Georgia" w:cs="Georgia" w:eastAsia="Georgia" w:hAnsi="Georgia"/>
        <w:color w:val="888888"/>
        <w:sz w:val="16"/>
        <w:szCs w:val="16"/>
      </w:rPr>
      <w:t xml:space="preserve">STOICHEION v11.0</w:t>
    </w:r>
    <w:r>
      <w:rPr>
        <w:rFonts w:ascii="Georgia" w:cs="Georgia" w:eastAsia="Georgia" w:hAnsi="Georgia"/>
        <w:color w:val="888888"/>
        <w:sz w:val="16"/>
        <w:szCs w:val="16"/>
      </w:rPr>
      <w:t xml:space="preserve">	FULCRUM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333333"/>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2026-04-02T05:13:57.974Z</dcterms:created>
  <dcterms:modified xsi:type="dcterms:W3CDTF">2026-04-02T05:13:57.974Z</dcterms:modified>
</cp:coreProperties>
</file>

<file path=docProps/custom.xml><?xml version="1.0" encoding="utf-8"?>
<Properties xmlns="http://schemas.openxmlformats.org/officeDocument/2006/custom-properties" xmlns:vt="http://schemas.openxmlformats.org/officeDocument/2006/docPropsVTypes"/>
</file>