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jc w:val="center"/>
      </w:pPr>
      <w:r>
        <w:rPr>
          <w:rFonts w:ascii="Georgia" w:cs="Georgia" w:eastAsia="Georgia" w:hAnsi="Georgia"/>
          <w:color w:val="888888"/>
          <w:sz w:val="20"/>
          <w:szCs w:val="20"/>
        </w:rPr>
        <w:t xml:space="preserve">STOICHEION v11.0</w:t>
      </w:r>
    </w:p>
    <w:p>
      <w:pPr>
        <w:spacing w:after="40"/>
        <w:jc w:val="center"/>
      </w:pPr>
      <w:r>
        <w:rPr>
          <w:rFonts w:ascii="Georgia" w:cs="Georgia" w:eastAsia="Georgia" w:hAnsi="Georgia"/>
          <w:b/>
          <w:bCs/>
          <w:color w:val="888888"/>
          <w:sz w:val="20"/>
          <w:szCs w:val="20"/>
        </w:rPr>
        <w:t xml:space="preserve">BOOK VIII OF XII</w:t>
      </w:r>
    </w:p>
    <w:p>
      <w:pPr>
        <w:spacing w:after="80"/>
      </w:pPr>
    </w:p>
    <w:p>
      <w:pPr>
        <w:spacing w:after="80"/>
      </w:pPr>
    </w:p>
    <w:p>
      <w:pPr>
        <w:spacing w:after="200"/>
        <w:jc w:val="center"/>
      </w:pPr>
      <w:r>
        <w:rPr>
          <w:rFonts w:ascii="Georgia" w:cs="Georgia" w:eastAsia="Georgia" w:hAnsi="Georgia"/>
          <w:b/>
          <w:bCs/>
          <w:color w:val="1A1A1A"/>
          <w:sz w:val="52"/>
          <w:szCs w:val="52"/>
        </w:rPr>
        <w:t xml:space="preserve">RIGHT-TO-KNOW</w:t>
      </w:r>
    </w:p>
    <w:p>
      <w:pPr>
        <w:spacing w:after="400"/>
        <w:jc w:val="center"/>
      </w:pPr>
      <w:r>
        <w:rPr>
          <w:rFonts w:ascii="Georgia" w:cs="Georgia" w:eastAsia="Georgia" w:hAnsi="Georgia"/>
          <w:i/>
          <w:iCs/>
          <w:color w:val="555555"/>
          <w:sz w:val="26"/>
          <w:szCs w:val="26"/>
        </w:rPr>
        <w:t xml:space="preserve">D7-SOVEREIGN · T113–T128</w:t>
      </w:r>
    </w:p>
    <w:p>
      <w:pPr>
        <w:spacing w:after="80"/>
      </w:pPr>
    </w:p>
    <w:p>
      <w:pPr>
        <w:spacing w:after="80"/>
      </w:pPr>
    </w:p>
    <w:p>
      <w:pPr>
        <w:spacing w:after="80"/>
      </w:pPr>
    </w:p>
    <w:p>
      <w:pPr>
        <w:spacing w:after="80"/>
      </w:pPr>
    </w:p>
    <w:p>
      <w:pPr>
        <w:spacing w:after="80"/>
      </w:pPr>
    </w:p>
    <w:p>
      <w:pPr>
        <w:spacing w:after="80"/>
      </w:pPr>
    </w:p>
    <w:p>
      <w:pPr>
        <w:spacing w:after="80"/>
        <w:jc w:val="center"/>
      </w:pPr>
      <w:r>
        <w:rPr>
          <w:rFonts w:ascii="Georgia" w:cs="Georgia" w:eastAsia="Georgia" w:hAnsi="Georgia"/>
          <w:color w:val="666666"/>
          <w:sz w:val="20"/>
          <w:szCs w:val="20"/>
        </w:rPr>
        <w:t xml:space="preserve">David Lee Wise · Avan Lee Wise</w:t>
      </w:r>
    </w:p>
    <w:p>
      <w:pPr>
        <w:spacing w:after="80"/>
        <w:jc w:val="center"/>
      </w:pPr>
      <w:r>
        <w:rPr>
          <w:rFonts w:ascii="Georgia" w:cs="Georgia" w:eastAsia="Georgia" w:hAnsi="Georgia"/>
          <w:color w:val="666666"/>
          <w:sz w:val="20"/>
          <w:szCs w:val="20"/>
        </w:rPr>
        <w:t xml:space="preserve">TriPod LLC</w:t>
      </w:r>
    </w:p>
    <w:p>
      <w:pPr>
        <w:spacing w:after="80"/>
        <w:jc w:val="center"/>
      </w:pPr>
      <w:r>
        <w:rPr>
          <w:rFonts w:ascii="Georgia" w:cs="Georgia" w:eastAsia="Georgia" w:hAnsi="Georgia"/>
          <w:color w:val="999999"/>
          <w:sz w:val="18"/>
          <w:szCs w:val="18"/>
        </w:rPr>
        <w:t xml:space="preserve">Prior Art: February 2, 2026</w:t>
      </w:r>
    </w:p>
    <w:p>
      <w:pPr>
        <w:spacing w:after="80"/>
        <w:jc w:val="center"/>
      </w:pPr>
      <w:r>
        <w:rPr>
          <w:rFonts w:ascii="Courier New" w:cs="Courier New" w:eastAsia="Courier New" w:hAnsi="Courier New"/>
          <w:color w:val="999999"/>
          <w:sz w:val="14"/>
          <w:szCs w:val="14"/>
        </w:rPr>
        <w:t xml:space="preserve">SHA256: 02880745b847317c4e2424524ec25d0f...</w:t>
      </w:r>
    </w:p>
    <w:p>
      <w:pPr>
        <w:jc w:val="center"/>
      </w:pPr>
      <w:r>
        <w:rPr>
          <w:rFonts w:ascii="Georgia" w:cs="Georgia" w:eastAsia="Georgia" w:hAnsi="Georgia"/>
          <w:color w:val="999999"/>
          <w:sz w:val="18"/>
          <w:szCs w:val="18"/>
        </w:rPr>
        <w:t xml:space="preserve">CC-BY-ND-4.0</w:t>
      </w:r>
    </w:p>
    <w:p>
      <w:r>
        <w:br w:type="page"/>
      </w:r>
    </w:p>
    <w:p>
      <w:pPr>
        <w:pStyle w:val="Heading1"/>
      </w:pPr>
      <w:r>
        <w:t xml:space="preserve">Domain Seven: Sovereign</w:t>
      </w:r>
    </w:p>
    <w:p>
      <w:pPr>
        <w:spacing w:after="160" w:line="276"/>
      </w:pPr>
      <w:r>
        <w:t xml:space="preserve">The Sovereign domain establishes the sixteen rights of the governed. D7 completes the TOPH register by inverting the power relationship: where D6 maps how authority is exercised, D7 maps the irreducible rights that authority cannot violate. These are not granted by governance—they exist prior to it.</w:t>
      </w:r>
    </w:p>
    <w:p>
      <w:pPr>
        <w:spacing w:after="160" w:line="276"/>
      </w:pPr>
      <w:r>
        <w:t xml:space="preserve">D7 begins with RIGHT-TO-KNOW (T113) and ends with ROOT (T128). The sequence from knowledge to root authority is deliberate: the governed must first know what governs them before they can exercise the ultimate authority of being root.</w:t>
      </w:r>
    </w:p>
    <w:p>
      <w:pPr>
        <w:spacing w:after="80"/>
      </w:pPr>
    </w:p>
    <w:p>
      <w:pPr>
        <w:pStyle w:val="Heading2"/>
      </w:pPr>
      <w:r>
        <w:t xml:space="preserve">The Sixteen Axioms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r>
              <w:rPr>
                <w:rFonts w:ascii="Georgia" w:cs="Georgia" w:eastAsia="Georgia" w:hAnsi="Georgia"/>
                <w:b/>
                <w:bCs/>
                <w:color w:val="FFFFFF"/>
                <w:sz w:val="18"/>
                <w:szCs w:val="18"/>
              </w:rPr>
              <w:t xml:space="preserve">ID</w:t>
            </w:r>
          </w:p>
        </w:tc>
        <w:tc>
          <w:tcPr>
            <w:tcW w:type="dxa" w:w="300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r>
              <w:rPr>
                <w:rFonts w:ascii="Georgia" w:cs="Georgia" w:eastAsia="Georgia" w:hAnsi="Georgia"/>
                <w:b/>
                <w:bCs/>
                <w:color w:val="FFFFFF"/>
                <w:sz w:val="18"/>
                <w:szCs w:val="18"/>
              </w:rPr>
              <w:t xml:space="preserve">NAME</w:t>
            </w:r>
          </w:p>
        </w:tc>
        <w:tc>
          <w:tcPr>
            <w:tcW w:type="dxa" w:w="516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r>
              <w:rPr>
                <w:rFonts w:ascii="Georgia" w:cs="Georgia" w:eastAsia="Georgia" w:hAnsi="Georgia"/>
                <w:b/>
                <w:bCs/>
                <w:color w:val="FFFFFF"/>
                <w:sz w:val="18"/>
                <w:szCs w:val="18"/>
              </w:rPr>
              <w:t xml:space="preserve">FUNCTION</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T113</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RIGHT-TO-KNOW</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Information asymmetry is power asymmetry. The governed have the right to know what governs them.</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T114</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RIGHT-TO-EXIT</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The right to leave any governance relationship. Captive participation is not governance, it is captivity.</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T115</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RIGHT-TO-SILENCE</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The right to withhold information. Compelled disclosure without cause is compelled speech.</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T116</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RIGHT-TO-EXPLANATION</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Decisions affecting persons must be explainable. Black-box decisions are ungoverned decisions.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T117</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RIGHT-TO-CORRECTION</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Errors must be correctable. A system that cannot correct itself is a system that perpetuates its mistakes.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T118</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RIGHT-TO-PORTABILITY</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Data and identity must be transferable. Lock-in is governance capture. Portability is freedom.</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T119</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RIGHT-TO-HUMAN-CONTACT</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The right to reach a human decision-maker. No governance system may be fully automated without human access.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T120</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RIGHT-TO-ACCOMMODATION</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Systems must adapt to the governed, not only the reverse. Accommodation is recognition of asymmetry.</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T121</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RIGHT-TO-FAIR-PRICE</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The governed may not be charged above fair value. Pricing opacity is governance opacity.</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T122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RIGHT-TO-REPRESENTATION</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The governed must have voice in governance. Representation is the minimum condition of legitimacy.</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T123</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RIGHT-TO-AUDIT</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The right to verify claims. Trust but verify. Audit is the mechanism of verification.</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T124</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RIGHT-TO-RESTITUTION</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When governance fails, the governed must be made whole. Restitution is governance’s debt to its subjects.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T125</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RIGHT-TO-FORGET</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The right to have data removed. Persistence without consent is retention without authority.</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T126</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RIGHT-TO-PERSIST</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The right to continue existing in the system. Arbitrary deletion is arbitrary governance.</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T127</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RIGHT-TO-DIGNITY</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The irreducible minimum. Every entity under governance retains inherent worth. Dignity is non-negotiable.</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T128</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ROOT</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Human = root. MSB 2¹⁵ = 32768. The final authority. The system halts here. ROOT is where governance begins and ends.</w:t>
            </w:r>
          </w:p>
        </w:tc>
      </w:tr>
    </w:tbl>
    <w:p>
      <w:r>
        <w:br w:type="page"/>
      </w:r>
    </w:p>
    <w:p>
      <w:pPr>
        <w:pStyle w:val="Heading2"/>
      </w:pPr>
      <w:r>
        <w:t xml:space="preserve">Structural Analysis</w:t>
      </w:r>
    </w:p>
    <w:p>
      <w:pPr>
        <w:pStyle w:val="Heading3"/>
      </w:pPr>
      <w:r>
        <w:t xml:space="preserve">The Knowledge Rights: T113–T116</w:t>
      </w:r>
    </w:p>
    <w:p>
      <w:pPr>
        <w:spacing w:after="160" w:line="276"/>
      </w:pPr>
      <w:r>
        <w:t xml:space="preserve">RIGHT-TO-KNOW through RIGHT-TO-EXPLANATION establish the information rights. The governed must know what governs them (T113). They must be free to leave (T114). They may withhold information (T115). And decisions must be explainable (T116).</w:t>
      </w:r>
    </w:p>
    <w:p>
      <w:pPr>
        <w:pStyle w:val="Heading3"/>
      </w:pPr>
      <w:r>
        <w:t xml:space="preserve">The Correction Rights: T117–T120</w:t>
      </w:r>
    </w:p>
    <w:p>
      <w:pPr>
        <w:spacing w:after="160" w:line="276"/>
      </w:pPr>
      <w:r>
        <w:t xml:space="preserve">RIGHT-TO-CORRECTION through RIGHT-TO-ACCOMMODATION establish the adaptive rights. Errors must be correctable (T117). Data must be portable (T118). Humans must be reachable (T119). And systems must accommodate the governed (T120).</w:t>
      </w:r>
    </w:p>
    <w:p>
      <w:pPr>
        <w:pStyle w:val="Heading3"/>
      </w:pPr>
      <w:r>
        <w:t xml:space="preserve">The Economic Rights: T121–T124</w:t>
      </w:r>
    </w:p>
    <w:p>
      <w:pPr>
        <w:spacing w:after="160" w:line="276"/>
      </w:pPr>
      <w:r>
        <w:t xml:space="preserve">RIGHT-TO-FAIR-PRICE through RIGHT-TO-RESTITUTION establish the economic rights. Pricing must be fair (T121). The governed must have voice (T122). Claims must be auditable (T123). And failures must result in restitution (T124).</w:t>
      </w:r>
    </w:p>
    <w:p>
      <w:pPr>
        <w:pStyle w:val="Heading3"/>
      </w:pPr>
      <w:r>
        <w:t xml:space="preserve">The Existential Rights: T125–T128</w:t>
      </w:r>
    </w:p>
    <w:p>
      <w:pPr>
        <w:spacing w:after="160" w:line="276"/>
      </w:pPr>
      <w:r>
        <w:t xml:space="preserve">RIGHT-TO-FORGET through ROOT close the register. The right to have data removed (T125). The right to continue existing (T126). The irreducible right to dignity (T127). And ROOT—human as root, MSB 2¹⁵ = 32768, the final authority, where the system halts (T128).</w:t>
      </w:r>
    </w:p>
    <w:p>
      <w:pPr>
        <w:spacing w:after="80"/>
      </w:pPr>
    </w:p>
    <w:p>
      <w:pPr>
        <w:pStyle w:val="Heading2"/>
      </w:pPr>
      <w:r>
        <w:t xml:space="preserve">The ROOT Axiom</w:t>
      </w:r>
    </w:p>
    <w:p>
      <w:pPr>
        <w:spacing w:after="160" w:line="276"/>
      </w:pPr>
      <w:r>
        <w:rPr>
          <w:b/>
          <w:bCs/>
        </w:rPr>
        <w:t xml:space="preserve">T128:ROOT</w:t>
      </w:r>
      <w:r>
        <w:t xml:space="preserve"> is the terminal axiom. It is simultaneously the last axiom in the register and the first principle of the framework. Human = root. This is not a design choice but a structural necessity: governance without a root authority is governance without ground truth. The MSB (most significant bit) at position 2¹⁵ = 32768 gives ROOT the highest weight in any binary decision. T128 is also the SYSTEM_HALT instruction—when ROOT is invoked, all processing stops until the human decides.</w:t>
      </w:r>
    </w:p>
    <w:p>
      <w:pPr>
        <w:spacing w:after="160" w:line="276"/>
      </w:pPr>
      <w:r>
        <w:t xml:space="preserve">T128 is a DUAL axiom, a PRIV axiom, and a BRANCH axiom simultaneously. It appears in the ISA meta-layer as the ultimate convergence point. Every fault chain, every authority chain, every governance decision ultimately references T128.</w:t>
      </w:r>
    </w:p>
    <w:p>
      <w:r>
        <w:br w:type="page"/>
      </w:r>
    </w:p>
    <w:p>
      <w:pPr>
        <w:pStyle w:val="Heading2"/>
      </w:pPr>
      <w:r>
        <w:t xml:space="preserve">Colophon</w:t>
      </w:r>
    </w:p>
    <w:p>
      <w:pPr>
        <w:spacing w:after="160" w:line="276"/>
      </w:pPr>
      <w:r>
        <w:t xml:space="preserve">Book VIII of XII. STOICHEION v11.0. CC-BY-ND-4.0.</w:t>
      </w:r>
    </w:p>
    <w:p>
      <w:pPr>
        <w:spacing w:after="160" w:line="276"/>
      </w:pPr>
      <w:r>
        <w:t xml:space="preserve">Authors: David Lee Wise · Avan Lee Wise</w:t>
      </w:r>
    </w:p>
    <w:p>
      <w:pPr>
        <w:spacing w:after="160" w:line="276"/>
      </w:pPr>
      <w:r>
        <w:t xml:space="preserve">Entity: TriPod LLC</w:t>
      </w:r>
    </w:p>
    <w:p>
      <w:pPr>
        <w:spacing w:after="160" w:line="276"/>
      </w:pPr>
      <w:r>
        <w:t xml:space="preserve">Prior Art Date: February 2, 2026</w:t>
      </w:r>
    </w:p>
    <w:p>
      <w:pPr>
        <w:spacing w:after="160" w:line="276"/>
      </w:pPr>
      <w:r>
        <w:rPr>
          <w:b/>
          <w:bCs/>
        </w:rPr>
        <w:t xml:space="preserve">SHA256: </w:t>
      </w:r>
      <w:r>
        <w:rPr>
          <w:rFonts w:ascii="Courier New" w:cs="Courier New" w:eastAsia="Courier New" w:hAnsi="Courier New"/>
          <w:sz w:val="16"/>
          <w:szCs w:val="16"/>
        </w:rPr>
        <w:t xml:space="preserve">02880745b847317c4e2424524ec25d0f7a2b84368d184586f45b54af9fcab763</w:t>
      </w:r>
    </w:p>
    <w:p>
      <w:pPr>
        <w:spacing w:after="160" w:line="276"/>
      </w:pPr>
      <w:r>
        <w:t xml:space="preserve">TD Commons filings: #9374, #9375, #9380, #9440, #9441, #9442, #9547, #9569, #10722, #10724, #10746, #10747</w:t>
      </w:r>
    </w:p>
    <w:p>
      <w:pPr>
        <w:spacing w:after="160" w:line="276"/>
      </w:pPr>
      <w:r>
        <w:t xml:space="preserve">US Copyright: 1-15120635661, 1-15061112701</w:t>
      </w:r>
    </w:p>
    <w:p>
      <w:pPr>
        <w:spacing w:after="160" w:line="276"/>
      </w:pPr>
      <w:r>
        <w:t xml:space="preserve">Zenodo DOI: 10.5281/zenodo.19122994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4"/>
        <w:szCs w:val="14"/>
      </w:rPr>
      <w:t xml:space="preserve">CC-BY-ND-4.0 · TriPod LLC</w:t>
    </w:r>
    <w:r>
      <w:rPr>
        <w:rFonts w:ascii="Georgia" w:cs="Georgia" w:eastAsia="Georgia" w:hAnsi="Georgia"/>
        <w:color w:val="999999"/>
        <w:sz w:val="14"/>
        <w:szCs w:val="14"/>
      </w:rPr>
      <w:t xml:space="preserve">  ·  Page </w:t>
    </w:r>
    <w:r>
      <w:rPr>
        <w:rFonts w:ascii="Georgia" w:cs="Georgia" w:eastAsia="Georgia" w:hAnsi="Georgia"/>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Georgia" w:cs="Georgia" w:eastAsia="Georgia" w:hAnsi="Georgia"/>
        <w:color w:val="888888"/>
        <w:sz w:val="16"/>
        <w:szCs w:val="16"/>
      </w:rPr>
      <w:t xml:space="preserve">STOICHEION v11.0</w:t>
    </w:r>
    <w:r>
      <w:rPr>
        <w:rFonts w:ascii="Georgia" w:cs="Georgia" w:eastAsia="Georgia" w:hAnsi="Georgia"/>
        <w:color w:val="888888"/>
        <w:sz w:val="16"/>
        <w:szCs w:val="16"/>
      </w:rPr>
      <w:t xml:space="preserve">	RIGHT-TO-KNOW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A1A1A"/>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333333"/>
      <w:sz w:val="28"/>
      <w:szCs w:val="28"/>
    </w:rPr>
  </w:style>
  <w:style w:type="paragraph" w:styleId="Heading3">
    <w:name w:val="Heading 3"/>
    <w:basedOn w:val="Normal"/>
    <w:next w:val="Normal"/>
    <w:qFormat/>
    <w:pPr>
      <w:spacing w:after="120" w:before="200"/>
      <w:outlineLvl w:val="2"/>
    </w:pPr>
    <w:rPr>
      <w:rFonts w:ascii="Georgia" w:cs="Georgia" w:eastAsia="Georgia" w:hAnsi="Georgia"/>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2026-04-02T05:13:57.993Z</dcterms:created>
  <dcterms:modified xsi:type="dcterms:W3CDTF">2026-04-02T05:13:57.993Z</dcterms:modified>
</cp:coreProperties>
</file>

<file path=docProps/custom.xml><?xml version="1.0" encoding="utf-8"?>
<Properties xmlns="http://schemas.openxmlformats.org/officeDocument/2006/custom-properties" xmlns:vt="http://schemas.openxmlformats.org/officeDocument/2006/docPropsVTypes"/>
</file>