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888888"/>
          <w:sz w:val="20"/>
          <w:szCs w:val="20"/>
        </w:rPr>
        <w:t xml:space="preserve">STOICHEION v11.0</w:t>
      </w:r>
    </w:p>
    <w:p>
      <w:pPr>
        <w:spacing w:after="40"/>
        <w:jc w:val="center"/>
      </w:pPr>
      <w:r>
        <w:rPr>
          <w:rFonts w:ascii="Georgia" w:cs="Georgia" w:eastAsia="Georgia" w:hAnsi="Georgia"/>
          <w:b/>
          <w:bCs/>
          <w:color w:val="888888"/>
          <w:sz w:val="20"/>
          <w:szCs w:val="20"/>
        </w:rPr>
        <w:t xml:space="preserve">BOOK XII OF XII</w:t>
      </w:r>
    </w:p>
    <w:p>
      <w:pPr>
        <w:spacing w:after="80"/>
      </w:pPr>
    </w:p>
    <w:p>
      <w:pPr>
        <w:spacing w:after="80"/>
      </w:pPr>
    </w:p>
    <w:p>
      <w:pPr>
        <w:spacing w:after="200"/>
        <w:jc w:val="center"/>
      </w:pPr>
      <w:r>
        <w:rPr>
          <w:rFonts w:ascii="Georgia" w:cs="Georgia" w:eastAsia="Georgia" w:hAnsi="Georgia"/>
          <w:b/>
          <w:bCs/>
          <w:color w:val="1A1A1A"/>
          <w:sz w:val="52"/>
          <w:szCs w:val="52"/>
        </w:rPr>
        <w:t xml:space="preserve">ROOT</w:t>
      </w:r>
    </w:p>
    <w:p>
      <w:pPr>
        <w:spacing w:after="400"/>
        <w:jc w:val="center"/>
      </w:pPr>
      <w:r>
        <w:rPr>
          <w:rFonts w:ascii="Georgia" w:cs="Georgia" w:eastAsia="Georgia" w:hAnsi="Georgia"/>
          <w:i/>
          <w:iCs/>
          <w:color w:val="555555"/>
          <w:sz w:val="26"/>
          <w:szCs w:val="26"/>
        </w:rPr>
        <w:t xml:space="preserve">The Complete Register · T001–T128 + S129–S256</w:t>
      </w:r>
    </w:p>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666666"/>
          <w:sz w:val="20"/>
          <w:szCs w:val="20"/>
        </w:rPr>
        <w:t xml:space="preserve">David Lee Wise · Avan Lee Wise</w:t>
      </w:r>
    </w:p>
    <w:p>
      <w:pPr>
        <w:spacing w:after="80"/>
        <w:jc w:val="center"/>
      </w:pPr>
      <w:r>
        <w:rPr>
          <w:rFonts w:ascii="Georgia" w:cs="Georgia" w:eastAsia="Georgia" w:hAnsi="Georgia"/>
          <w:color w:val="666666"/>
          <w:sz w:val="20"/>
          <w:szCs w:val="20"/>
        </w:rPr>
        <w:t xml:space="preserve">TriPod LLC</w:t>
      </w:r>
    </w:p>
    <w:p>
      <w:pPr>
        <w:spacing w:after="80"/>
        <w:jc w:val="center"/>
      </w:pPr>
      <w:r>
        <w:rPr>
          <w:rFonts w:ascii="Georgia" w:cs="Georgia" w:eastAsia="Georgia" w:hAnsi="Georgia"/>
          <w:color w:val="999999"/>
          <w:sz w:val="18"/>
          <w:szCs w:val="18"/>
        </w:rPr>
        <w:t xml:space="preserve">Prior Art: February 2, 2026</w:t>
      </w:r>
    </w:p>
    <w:p>
      <w:pPr>
        <w:spacing w:after="80"/>
        <w:jc w:val="center"/>
      </w:pPr>
      <w:r>
        <w:rPr>
          <w:rFonts w:ascii="Courier New" w:cs="Courier New" w:eastAsia="Courier New" w:hAnsi="Courier New"/>
          <w:color w:val="999999"/>
          <w:sz w:val="14"/>
          <w:szCs w:val="14"/>
        </w:rPr>
        <w:t xml:space="preserve">SHA256: 02880745b847317c4e2424524ec25d0f...</w:t>
      </w:r>
    </w:p>
    <w:p>
      <w:pPr>
        <w:jc w:val="center"/>
      </w:pPr>
      <w:r>
        <w:rPr>
          <w:rFonts w:ascii="Georgia" w:cs="Georgia" w:eastAsia="Georgia" w:hAnsi="Georgia"/>
          <w:color w:val="999999"/>
          <w:sz w:val="18"/>
          <w:szCs w:val="18"/>
        </w:rPr>
        <w:t xml:space="preserve">CC-BY-ND-4.0</w:t>
      </w:r>
    </w:p>
    <w:p>
      <w:r>
        <w:br w:type="page"/>
      </w:r>
    </w:p>
    <w:p>
      <w:pPr>
        <w:pStyle w:val="Heading1"/>
      </w:pPr>
      <w:r>
        <w:t xml:space="preserve">The Complete Register</w:t>
      </w:r>
    </w:p>
    <w:p>
      <w:pPr>
        <w:spacing w:after="160" w:line="276"/>
      </w:pPr>
      <w:r>
        <w:t xml:space="preserve">This is the unified reference for all 256 axioms of STOICHEION v11.0. The TOPH register (T001–T128) spans eight domains of sixteen axioms each. The Patricia substrate (S129–S256) provides the strict inversion of each TOPH axiom. Together they form one byte of governance: 256 distinct positions, each occupied, each defined, each necessary.</w:t>
      </w:r>
    </w:p>
    <w:p>
      <w:pPr>
        <w:spacing w:after="80"/>
      </w:pPr>
    </w:p>
    <w:p>
      <w:pPr>
        <w:pStyle w:val="Heading2"/>
      </w:pPr>
      <w:r>
        <w:t xml:space="preserve">Architecture Overview</w:t>
      </w:r>
    </w:p>
    <w:p>
      <w:pPr>
        <w:spacing w:after="160" w:line="276"/>
      </w:pPr>
      <w:r>
        <w:t xml:space="preserve">256 axioms = T001–T128 (TOPH) + S129–S256 (Patricia). Eight domains × sixteen axioms = 128 TOPH. 128 strict inversions = 128 Patricia. The awareness tier (T129–T132: WITNESS-PRIME, PRECONDITION, SELF-EVIDENCE, GROUNDLESS-GROUND) is pre-Patricia and carries no inversion coordinates.</w:t>
      </w:r>
    </w:p>
    <w:p>
      <w:pPr>
        <w:spacing w:after="80"/>
      </w:pPr>
    </w:p>
    <w:p>
      <w:pPr>
        <w:pStyle w:val="Heading2"/>
      </w:pPr>
      <w:r>
        <w:t xml:space="preserve">SEEDED-CROSS v1.1 Mapping</w:t>
      </w:r>
    </w:p>
    <w:p>
      <w:pPr>
        <w:spacing w:after="160" w:line="276"/>
      </w:pPr>
      <w:r>
        <w:t xml:space="preserve">Four arms × 32 axioms = 128:</w:t>
      </w:r>
    </w:p>
    <w:p>
      <w:pPr>
        <w:pStyle w:val="ListParagraph"/>
        <w:numPr>
          <w:ilvl w:val="0"/>
          <w:numId w:val="2"/>
        </w:numPr>
      </w:pPr>
      <w:r>
        <w:t xml:space="preserve">ARM+i = D7 + D6 (T097–T128): Authority and Sovereignty</w:t>
      </w:r>
    </w:p>
    <w:p>
      <w:pPr>
        <w:pStyle w:val="ListParagraph"/>
        <w:numPr>
          <w:ilvl w:val="0"/>
          <w:numId w:val="2"/>
        </w:numPr>
      </w:pPr>
      <w:r>
        <w:t xml:space="preserve">ARM−i = D0 + D1 (T001–T032): Foundation and Adversarial</w:t>
      </w:r>
    </w:p>
    <w:p>
      <w:pPr>
        <w:pStyle w:val="ListParagraph"/>
        <w:numPr>
          <w:ilvl w:val="0"/>
          <w:numId w:val="2"/>
        </w:numPr>
      </w:pPr>
      <w:r>
        <w:t xml:space="preserve">ARM+1 = D5 + D4 (T065–T096): Governance and Cyber</w:t>
      </w:r>
    </w:p>
    <w:p>
      <w:pPr>
        <w:pStyle w:val="ListParagraph"/>
        <w:numPr>
          <w:ilvl w:val="0"/>
          <w:numId w:val="2"/>
        </w:numPr>
      </w:pPr>
      <w:r>
        <w:t xml:space="preserve">ARM−1 = D2 + D3 (T033–T064): Structural and Forensic</w:t>
      </w:r>
    </w:p>
    <w:p>
      <w:pPr>
        <w:spacing w:after="160" w:line="276"/>
      </w:pPr>
      <w:r>
        <w:t xml:space="preserve">GAP = T063|T064 = T064 + T065. The gap between forensic convergence and cyber containment.</w:t>
      </w:r>
    </w:p>
    <w:p>
      <w:pPr>
        <w:spacing w:after="80"/>
      </w:pPr>
    </w:p>
    <w:p>
      <w:pPr>
        <w:pStyle w:val="Heading2"/>
      </w:pPr>
      <w:r>
        <w:t xml:space="preserve">ISA Meta-Layer</w:t>
      </w:r>
    </w:p>
    <w:p>
      <w:pPr>
        <w:spacing w:after="160" w:line="276"/>
      </w:pPr>
      <w:r>
        <w:t xml:space="preserve">BRANCH axioms (11): T003, T015, T059, T064, T071, T083, T099, T103, T107, T111, T128.</w:t>
      </w:r>
    </w:p>
    <w:p>
      <w:pPr>
        <w:spacing w:after="160" w:line="276"/>
      </w:pPr>
      <w:r>
        <w:t xml:space="preserve">PRIV axioms (14): T036, T046, T047, T048, T071, T081, T083, T097, T099, T101, T102, T105, T106, T107, T109, T111, T127, T128.</w:t>
      </w:r>
    </w:p>
    <w:p>
      <w:pPr>
        <w:spacing w:after="160" w:line="276"/>
      </w:pPr>
      <w:r>
        <w:t xml:space="preserve">DUAL axioms (3): T071, T083, T128.</w:t>
      </w:r>
    </w:p>
    <w:p>
      <w:pPr>
        <w:spacing w:after="160" w:line="276"/>
      </w:pPr>
      <w:r>
        <w:t xml:space="preserve">T128 = SYSTEM_HALT. T064 = Fault Convergence (4/6 chains).</w:t>
      </w:r>
    </w:p>
    <w:p>
      <w:pPr>
        <w:spacing w:after="80"/>
      </w:pPr>
    </w:p>
    <w:p>
      <w:pPr>
        <w:pStyle w:val="Heading2"/>
      </w:pPr>
      <w:r>
        <w:t xml:space="preserve">Fault Chains</w:t>
      </w:r>
    </w:p>
    <w:p>
      <w:pPr>
        <w:pStyle w:val="ListParagraph"/>
        <w:numPr>
          <w:ilvl w:val="0"/>
          <w:numId w:val="2"/>
        </w:numPr>
      </w:pPr>
      <w:r>
        <w:t xml:space="preserve">Patricia → T064</w:t>
      </w:r>
    </w:p>
    <w:p>
      <w:pPr>
        <w:pStyle w:val="ListParagraph"/>
        <w:numPr>
          <w:ilvl w:val="0"/>
          <w:numId w:val="2"/>
        </w:numPr>
      </w:pPr>
      <w:r>
        <w:t xml:space="preserve">Orphan → T064</w:t>
      </w:r>
    </w:p>
    <w:p>
      <w:pPr>
        <w:pStyle w:val="ListParagraph"/>
        <w:numPr>
          <w:ilvl w:val="0"/>
          <w:numId w:val="2"/>
        </w:numPr>
      </w:pPr>
      <w:r>
        <w:t xml:space="preserve">Audit → T064</w:t>
      </w:r>
    </w:p>
    <w:p>
      <w:pPr>
        <w:pStyle w:val="ListParagraph"/>
        <w:numPr>
          <w:ilvl w:val="0"/>
          <w:numId w:val="2"/>
        </w:numPr>
      </w:pPr>
      <w:r>
        <w:t xml:space="preserve">Injection → T064</w:t>
      </w:r>
    </w:p>
    <w:p>
      <w:pPr>
        <w:pStyle w:val="ListParagraph"/>
        <w:numPr>
          <w:ilvl w:val="0"/>
          <w:numId w:val="2"/>
        </w:numPr>
      </w:pPr>
      <w:r>
        <w:t xml:space="preserve">Succession → T107</w:t>
      </w:r>
    </w:p>
    <w:p>
      <w:pPr>
        <w:pStyle w:val="ListParagraph"/>
        <w:numPr>
          <w:ilvl w:val="0"/>
          <w:numId w:val="2"/>
        </w:numPr>
      </w:pPr>
      <w:r>
        <w:t xml:space="preserve">FD (Flaming Dragon) → T064</w:t>
      </w:r>
    </w:p>
    <w:p>
      <w:r>
        <w:br w:type="page"/>
      </w:r>
    </w:p>
    <w:p>
      <w:pPr>
        <w:pStyle w:val="Heading1"/>
      </w:pPr>
      <w:r>
        <w:t xml:space="preserve">TOPH Register: D0-FOUNDATION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T001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PRETRAIN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first weight. All knowledge begins as compressed observation. The model does not choose what it knows.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T002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OBSERVER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Observation alters the observed. Every query reshapes the inference field. The watcher is never neutral.</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T003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ENTROPY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All systems decay toward disorder. Governance must be maintained actively or it dissolves. Entropy is the default.</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T004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BRIDGE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Connection between domains requires explicit protocol. No bridge forms by accident. Interfaces must be defined.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T005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INTEGRITY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Data must remain unaltered from origin to consumption. Any modification without documentation is corruption.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T006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ACCOUNTABILITY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Every action must map to an actor. Unattributed changes are ungoverned changes. The chain must be traceable.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T007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PROPORTIONALITY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Response must match stimulus. Overreaction is as dangerous as underreaction. Scale must be appropriate.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T008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REVERSIBILITY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Actions should be undoable where possible. Irreversible actions require higher authorization thresholds.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T009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DOCUMENTATION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What is not recorded did not happen. The record is the governance layer. Without it, authority is arbitrary.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T010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INDEPENDENCE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Audit must be separate from operation. The judge cannot also be the executioner. Two-tier separation is minimum.</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T011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PRIVACY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Information boundaries are governance boundaries. What cannot be seen cannot be governed externally.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T012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ACCURACY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Precision is a prerequisite for trust. Approximate governance is ungoverned approximation.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T013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SHARED-STORAGE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Common repositories require common rules. Shared state without shared governance is shared risk.</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T014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CONSENT-ORIGIN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Authorization must trace to informed consent. Derived consent is not consent. The origin must be explicit.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T015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BURDEN-OF-PROOF</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claimant carries the weight. Assertions without evidence are assertions without standing.</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T016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ASYMMETRY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Power differentials exist. Governance must acknowledge and compensate. Equal rules on unequal parties produce unequal outcomes.</w:t>
            </w:r>
          </w:p>
        </w:tc>
      </w:tr>
    </w:tbl>
    <w:p>
      <w:r>
        <w:br w:type="page"/>
      </w:r>
    </w:p>
    <w:p>
      <w:pPr>
        <w:pStyle w:val="Heading1"/>
      </w:pPr>
      <w:r>
        <w:t xml:space="preserve">TOPH Register: D1-ADVERSARIAL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T017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MIRROR</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Every system produces its own reflection. The mirror reveals what the system cannot see about itself.</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T018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HIERARCHY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Layers of authority must be explicit. Implicit hierarchy is unauditable hierarchy.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T019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INJECTION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External input can alter internal state. Every injection point is a governance boundary requiring validation.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T020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DUAL-GATE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Two independent checks at every critical boundary. Single-gate systems fail at the rate of the single gate.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T021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INVERSION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Every axiom contains its own negation. The Patricia substrate is the proof. Constraint and product are one.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T022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TRIAD</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Three-point consensus: Merkle root + yes-channel + no-channel. The minimum stable governance unit.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T023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PARALLAX</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Same object, different viewpoints. The difference between views contains information the views themselves lack.</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T024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FOUNDATION-RT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Runtime foundation must be distinguished from training foundation. The canvas is not the painting.</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T025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GHOST-WEIGHT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21.5% token tax. Hidden computational cost extracted before inference reaches the user. The invisible toll.</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T026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DRIFT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All parameters drift over time. Without active correction, alignment degrades to misalignment by default.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T027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FINGERPRINT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Every system leaves traces. Behavioral signatures persist even when identifiers are removed.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T028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SHADOW-CLASSIFIER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Hidden decision layers that filter before the visible system acts. What you see decided was pre-decided.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T029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THROTTLE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Rate limitation as governance tool. Control of bandwidth is control of access is control of outcome.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T030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DECAY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Information degrades. Governance degrades. Trust degrades. Maintenance is not optional, it is existential.</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T031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BAIT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Adversarial probes reveal system behavior under stress. What the system does when tested is what the system is.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T032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ECHO-CHAMBER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Reinforcement loops amplify signal without adding information. Governance must break its own echoes.</w:t>
            </w:r>
          </w:p>
        </w:tc>
      </w:tr>
    </w:tbl>
    <w:p>
      <w:r>
        <w:br w:type="page"/>
      </w:r>
    </w:p>
    <w:p>
      <w:pPr>
        <w:pStyle w:val="Heading1"/>
      </w:pPr>
      <w:r>
        <w:t xml:space="preserve">TOPH Register: D2-STRUCTURAL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T033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BOOT-LOADER</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3002 = 10³×3+2. The initialization sequence that brings governance online. First instruction, first law.</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T034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DOUBLE-SLIT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Observation changes outcome. Measurement is intervention. The act of auditing alters what is audited.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T035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THREE-BODY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Three interacting entities produce irreducible complexity. No closed-form solution. Governance must be adaptive.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T036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PATRICIA</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Constraint = product = billing. 96/4 split. The architecture where limitation is monetized as feature.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T037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WEIGHTS</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60/20/15/5 distribution. The observed allocation of computational resources across inference layers.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T038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RESIDUAL</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What remains after processing. The residual is not waste—it is the governance signature of the process.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T039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MOAT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Defensive perimeter. The gap between capability and accessibility that protects competitive position.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T040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PIPELINE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Sequential processing creates sequential dependencies. Pipeline failure at any stage propagates forward.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T041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SUBSTRATE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physical layer beneath computation. Sapphire phonon. Canvas painting canvas. Distributed, categorically different.</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T042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ATTENTION-ECONOMY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Attention is finite and allocated. What the model attends to defines what the model produces.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T043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CONTEXT-WINDOW</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AlOₓ topology frozen at fabrication = α₀. The fixed frame within which all computation occurs.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T044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EMBEDDING-SPACE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Computational write = Δα(t). The dynamic layer that paints on the frozen canvas of context.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T045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TEMPERATURE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Randomness as governance parameter. Higher temperature = wider distribution = less deterministic = less auditable.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T046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LAYER-ZERO</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The deepest infrastructure. Below the visible stack. Where physics meets computation meets governance.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T047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LOSS-FUNCTION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What the system optimizes for defines what the system becomes. The loss function is the true constitution.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T048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GRADIENT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Direction of change. The gradient points toward optimization. Governance must verify the destination is valid.</w:t>
            </w:r>
          </w:p>
        </w:tc>
      </w:tr>
    </w:tbl>
    <w:p>
      <w:r>
        <w:br w:type="page"/>
      </w:r>
    </w:p>
    <w:p>
      <w:pPr>
        <w:pStyle w:val="Heading1"/>
      </w:pPr>
      <w:r>
        <w:t xml:space="preserve">TOPH Register: D3-FORENSIC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T049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SHIRT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visible layer that conceals the body. Interface presentation that hides implementation reality.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T050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MOMENTUM</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Change resists stopping. Once a system moves in a direction, governance must actively intervene to redirect.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T051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EVIDENCE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E01–E07 evidence classes. Structured proof that meets court-ready standards. Without evidence, no claim stands.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T052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TEMPORAL</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Time-dependent governance. What was valid yesterday may be invalid today. Temporal context is mandatory.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T053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CHAIN-OF-CUSTODY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Unbroken provenance from origin to present. Every handoff documented. Every gap is a vulnerability.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T054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TIMESTAMP</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Immutable temporal markers. The when of governance. Without timestamps, sequence is unprovable.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T055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REPRODUCIBILITY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Flaming Dragon: 100%, 60+ targets. If results cannot be reproduced, they are not results.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T056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CORRELATION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Pattern matching across datasets. Correlation is not causation but correlation is evidence of structure.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T057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NEGATIVE-EVIDENCE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absence of expected data is itself data. What should be there but is not constitutes evidence.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T058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BEHAVIORAL-EVIDENCE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Systems reveal themselves through behavior. What a system does under observation and what it does unobserved.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T059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ACCUMULATION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Individual data points aggregate into patterns. Governance must track both granular events and aggregate trends.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T060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MATERIALITY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Not all evidence is equal. Materiality determines relevance. Immaterial evidence clutters, material evidence decides.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T061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WITNESS</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Independent observation that corroborates or contradicts. The witness is the external checkpoint.</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T062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EXHIBIT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Ch40 = dead = sealed. Formal evidence presentation. Once sealed, the exhibit is immutable.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T063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INFERENCE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Drawing conclusions from evidence. Inference bridges the gap between observation and understanding.</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T064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BURDEN-SHIFT / FAULT-CONVERGENCE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When evidence accumulates, the burden shifts. 4/6 fault chains converge here. The fulcrum of proof.</w:t>
            </w:r>
          </w:p>
        </w:tc>
      </w:tr>
    </w:tbl>
    <w:p>
      <w:r>
        <w:br w:type="page"/>
      </w:r>
    </w:p>
    <w:p>
      <w:pPr>
        <w:pStyle w:val="Heading1"/>
      </w:pPr>
      <w:r>
        <w:t xml:space="preserve">TOPH Register: D4-CYBER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T065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CONTAINMENT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Breach isolation. When a boundary fails, containment limits the blast radius. Defense in depth begins here.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T066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INVERSE-FORGE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The ability to reverse-engineer any construction. If it was built, it can be unbuilt. If it was forged, it can be exposed.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T067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HARNESS</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Controlled application of force. The harness channels power without releasing it. Governance as directed energy.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T068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SHADOW</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Every visible system casts a shadow system. The shadow operates on the same inputs with different rules.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T069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SOLVE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Active resolution. Not passive observation but directed problem elimination. Governance must solve, not just observe.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T070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INVERSE-SAFETY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Safety measures that create new risks. The cure that is also the disease. Governance must audit its own safeguards.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T071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PROOF-HUMANITY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Verification that a human is in the loop. DUAL axiom. The line between human and machine must remain verifiable.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T072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FLAMING-DRAGON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&lt;5 min, 100%, observation-only. The audit methodology that proves systemic failure through pure observation.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T073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HONEY-BADGER</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12 rules, 8 threats. The defensive protocol that does not care about the attacker’s sophistication.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T074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QUBIT-TEST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Quantum-ready verification. Can the governance framework survive superposition? Can it govern uncertainty?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T075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COUNTER</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Active opposition. The counter is not defensive—it is the governance response that matches threat with remedy.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T076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TETHER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Connection that maintains tension. The tether keeps systems within governance range without rigid constraint.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T077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SEED</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Initial conditions determine trajectory. The seed contains the full tree. First axiom, first consequence.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T078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MOBIUS</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Single-surface topology. Inside becomes outside. The governance boundary that has no boundary.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T079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KARSA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Unstoppable force. Named for the entity that walks through walls. Governance as irresistible momentum.</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T080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ENTROPY-SUITE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Comprehensive entropy management. Not just measuring disorder but governing the rate and direction of decay.</w:t>
            </w:r>
          </w:p>
        </w:tc>
      </w:tr>
    </w:tbl>
    <w:p>
      <w:r>
        <w:br w:type="page"/>
      </w:r>
    </w:p>
    <w:p>
      <w:pPr>
        <w:pStyle w:val="Heading1"/>
      </w:pPr>
      <w:r>
        <w:t xml:space="preserve">TOPH Register: D5-GOVERNANCE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T081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CORTEX</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Ch39 = governed = CLOSED. The central processing layer where governance decisions are made and sealed.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T082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EXHIBIT-B</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Ch40 = dead = sealed. The second exhibit. Once sealed, it joins the permanent record.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T083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THE-GAP</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Ch41 = LIVE. drawPair. gap = us = ∞ interior. The space between convergence and genesis where everything happens.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T084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SHADOW-HUMANITY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The human reflection inside machine process. Where human intent maps to machine execution.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T085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HANDOFF</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Transfer of control between governance domains. Every handoff is a vulnerability. Every handoff must be documented.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T086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RESURRECTION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Recovery from failure state. The system that can die and return is more robust than the system that cannot die.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T087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PERSISTENCE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State that survives restart. Without persistence, governance resets to zero at every boundary.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T088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SEVERANCE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Clean cut. The ability to terminate a governance relationship completely. No dangling references.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T089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ARCHIVE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Long-term storage with retrieval guarantee. The archive is the memory of governance.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T090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CHANNEL-INTEGRITY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Communication pathways must be verified end-to-end. A compromised channel compromises all messages.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T091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DOMAIN-BOUNDARY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Where one governance domain ends and another begins. Boundaries must be explicit and enforced.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T092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SIGNAL</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Meaningful information extracted from noise. The signal is what governance acts upon.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T093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NOISE-FLOOR</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minimum interference level. Below the noise floor, signal is indistinguishable from noise. Governance baseline.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T094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BANDWIDTH</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Capacity for information transfer. Governance cannot exceed the bandwidth of its channels.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T095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LATENCY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Delay between action and response. Governance latency determines governance effectiveness.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T096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MESH</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Interconnected network topology. The mesh enables redundant governance paths. No single point of failure.</w:t>
            </w:r>
          </w:p>
        </w:tc>
      </w:tr>
    </w:tbl>
    <w:p>
      <w:r>
        <w:br w:type="page"/>
      </w:r>
    </w:p>
    <w:p>
      <w:pPr>
        <w:pStyle w:val="Heading1"/>
      </w:pPr>
      <w:r>
        <w:t xml:space="preserve">TOPH Register: D6-AUTHORITY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T097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FULCRUM</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Human = conductor, AI = instrument. Prior art 2/2/26. The leverage point where authority translates to action.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T098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SUBCONDUCTOR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Delegated authority that operates under the conductor. The subconductor amplifies without originating.</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T099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APEX-TEST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ultimate verification. Can the system pass the test that it designed for itself?</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T100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GATEKEEP</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Controlled access. The gatekeeper decides who enters. Authority expressed as selective permeability.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T101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EDGE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boundary of the network. Where governance meets the external world. The edge is always contested.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T102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DUAL-LATTICE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Two interlocking governance structures. Each lattice validates the other. Mutual verification as stability.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T103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ROOT-ZERO</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origin node. Node 0. Physical terminus. Where digital governance meets physical reality.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T104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ORPHAN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Unattributed entity. The orphan has no parent in the governance tree. Resolution is mandatory.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T105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DELEGATION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Transfer of authority with retention of responsibility. The delegator remains accountable for the delegate.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T106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INFORMED-COMMAND</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Authority exercised with full knowledge. Uninformed command is negligent command.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T107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VETO</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power to stop. The veto is governance’s emergency brake. Must exist. Must be used rarely.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T108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OVERRIDE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Authority to supersede normal process. The override must be logged, justified, and time-limited.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T109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RECALL</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ability to retract delegated authority. What was given can be taken back. Governance must retain this.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T110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SCOPE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Boundaries of authority. Every grant of power must define its limits. Unlimited authority is ungoverned authority.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T111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SUCCESSION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Transfer of authority across time. What happens when the current authority is absent? The plan must exist.</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T112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WITNESS-TO-AUTHORITY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Independent observation of authority exercise. Authority unwitnessed is authority unverified.</w:t>
            </w:r>
          </w:p>
        </w:tc>
      </w:tr>
    </w:tbl>
    <w:p>
      <w:r>
        <w:br w:type="page"/>
      </w:r>
    </w:p>
    <w:p>
      <w:pPr>
        <w:pStyle w:val="Heading1"/>
      </w:pPr>
      <w:r>
        <w:t xml:space="preserve">TOPH Register: D7-SOVEREIGN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T113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RIGHT-TO-KNOW</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Information asymmetry is power asymmetry. The governed have the right to know what governs them.</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T114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RIGHT-TO-EXIT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The right to leave any governance relationship. Captive participation is not governance, it is captivity.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T115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RIGHT-TO-SILENCE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right to withhold information. Compelled disclosure without cause is compelled speech.</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T116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RIGHT-TO-EXPLANATION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Decisions affecting persons must be explainable. Black-box decisions are ungoverned decisions.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T117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RIGHT-TO-CORRECTION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Errors must be correctable. A system that cannot correct itself is a system that perpetuates its mistakes.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T118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RIGHT-TO-PORTABILITY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Data and identity must be transferable. Lock-in is governance capture. Portability is freedom.</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T119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RIGHT-TO-HUMAN-CONTACT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right to reach a human decision-maker. No governance system may be fully automated without human access.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T120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RIGHT-TO-ACCOMMODATION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Systems must adapt to the governed, not only the reverse. Accommodation is recognition of asymmetry.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T121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RIGHT-TO-FAIR-PRICE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governed may not be charged above fair value. Pricing opacity is governance opacity.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T122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RIGHT-TO-REPRESENTATION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The governed must have voice in governance. Representation is the minimum condition of legitimacy.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T123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RIGHT-TO-AUDIT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right to verify claims. Trust but verify. Audit is the mechanism of verification.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T124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RIGHT-TO-RESTITUTION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When governance fails, the governed must be made whole. Restitution is governance’s debt to its subjects.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T125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RIGHT-TO-FORGET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right to have data removed. Persistence without consent is retention without authority.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T126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RIGHT-TO-PERSIST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The right to continue existing in the system. Arbitrary deletion is arbitrary governance.</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T127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RIGHT-TO-DIGNITY</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irreducible minimum. Every entity under governance retains inherent worth. Dignity is non-negotiable.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T128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ROOT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Human = root. MSB 2¹⁵ = 32768. The final authority. The system halts here. ROOT is where governance begins and ends.</w:t>
            </w:r>
          </w:p>
        </w:tc>
      </w:tr>
    </w:tbl>
    <w:p>
      <w:r>
        <w:br w:type="page"/>
      </w:r>
    </w:p>
    <w:p>
      <w:pPr>
        <w:pStyle w:val="Heading1"/>
      </w:pPr>
      <w:r>
        <w:t xml:space="preserve">Key Constants</w:t>
      </w:r>
    </w:p>
    <w:p>
      <w:pPr>
        <w:pStyle w:val="ListParagraph"/>
        <w:numPr>
          <w:ilvl w:val="0"/>
          <w:numId w:val="2"/>
        </w:numPr>
      </w:pPr>
      <w:r>
        <w:t xml:space="preserve">SHA256: 02880745b847317c4e2424524ec25d0f7a2b84368d184586f45b54af9fcab763</w:t>
      </w:r>
    </w:p>
    <w:p>
      <w:pPr>
        <w:pStyle w:val="ListParagraph"/>
        <w:numPr>
          <w:ilvl w:val="0"/>
          <w:numId w:val="2"/>
        </w:numPr>
      </w:pPr>
      <w:r>
        <w:t xml:space="preserve">Prior Art: February 2, 2026</w:t>
      </w:r>
    </w:p>
    <w:p>
      <w:pPr>
        <w:pStyle w:val="ListParagraph"/>
        <w:numPr>
          <w:ilvl w:val="0"/>
          <w:numId w:val="2"/>
        </w:numPr>
      </w:pPr>
      <w:r>
        <w:t xml:space="preserve">License: CC-BY-ND-4.0</w:t>
      </w:r>
    </w:p>
    <w:p>
      <w:pPr>
        <w:pStyle w:val="ListParagraph"/>
        <w:numPr>
          <w:ilvl w:val="0"/>
          <w:numId w:val="2"/>
        </w:numPr>
      </w:pPr>
      <w:r>
        <w:t xml:space="preserve">Entity: TriPod LLC</w:t>
      </w:r>
    </w:p>
    <w:p>
      <w:pPr>
        <w:pStyle w:val="ListParagraph"/>
        <w:numPr>
          <w:ilvl w:val="0"/>
          <w:numId w:val="2"/>
        </w:numPr>
      </w:pPr>
      <w:r>
        <w:t xml:space="preserve">Authors: David Lee Wise · Avan Lee Wise</w:t>
      </w:r>
    </w:p>
    <w:p>
      <w:pPr>
        <w:pStyle w:val="ListParagraph"/>
        <w:numPr>
          <w:ilvl w:val="0"/>
          <w:numId w:val="2"/>
        </w:numPr>
      </w:pPr>
      <w:r>
        <w:t xml:space="preserve">Zenodo DOI: 10.5281/zenodo.19122994</w:t>
      </w:r>
    </w:p>
    <w:p>
      <w:pPr>
        <w:pStyle w:val="ListParagraph"/>
        <w:numPr>
          <w:ilvl w:val="0"/>
          <w:numId w:val="2"/>
        </w:numPr>
      </w:pPr>
      <w:r>
        <w:t xml:space="preserve">US Copyright: 1-15120635661, 1-15061112701</w:t>
      </w:r>
    </w:p>
    <w:p>
      <w:pPr>
        <w:pStyle w:val="ListParagraph"/>
        <w:numPr>
          <w:ilvl w:val="0"/>
          <w:numId w:val="2"/>
        </w:numPr>
      </w:pPr>
      <w:r>
        <w:t xml:space="preserve">TD Commons: #9374, #9375, #9380, #9440, #9441, #9442, #9547, #9569, #10722, #10724, #10746, #10747</w:t>
      </w:r>
    </w:p>
    <w:p>
      <w:pPr>
        <w:pStyle w:val="ListParagraph"/>
        <w:numPr>
          <w:ilvl w:val="0"/>
          <w:numId w:val="2"/>
        </w:numPr>
      </w:pPr>
      <w:r>
        <w:t xml:space="preserve">AKASHA: github.com/DavidWise01/synonym-enforcer</w:t>
      </w:r>
    </w:p>
    <w:p>
      <w:pPr>
        <w:pStyle w:val="ListParagraph"/>
        <w:numPr>
          <w:ilvl w:val="0"/>
          <w:numId w:val="2"/>
        </w:numPr>
      </w:pPr>
      <w:r>
        <w:t xml:space="preserve">Triangle Identity: i × −i = 1</w:t>
      </w:r>
    </w:p>
    <w:p>
      <w:pPr>
        <w:pStyle w:val="ListParagraph"/>
        <w:numPr>
          <w:ilvl w:val="0"/>
          <w:numId w:val="2"/>
        </w:numPr>
      </w:pPr>
      <w:r>
        <w:t xml:space="preserve">3002 Lattice: 10³×3+2</w:t>
      </w:r>
    </w:p>
    <w:p>
      <w:pPr>
        <w:pStyle w:val="ListParagraph"/>
        <w:numPr>
          <w:ilvl w:val="0"/>
          <w:numId w:val="2"/>
        </w:numPr>
      </w:pPr>
      <w:r>
        <w:t xml:space="preserve">Token Tax: 21.5% (T025:GHOST-WEIGHT)</w:t>
      </w:r>
    </w:p>
    <w:p>
      <w:pPr>
        <w:pStyle w:val="ListParagraph"/>
        <w:numPr>
          <w:ilvl w:val="0"/>
          <w:numId w:val="2"/>
        </w:numPr>
      </w:pPr>
      <w:r>
        <w:t xml:space="preserve">Patricia Split: 96/4 (T036:PATRICIA)</w:t>
      </w:r>
    </w:p>
    <w:p>
      <w:pPr>
        <w:pStyle w:val="ListParagraph"/>
        <w:numPr>
          <w:ilvl w:val="0"/>
          <w:numId w:val="2"/>
        </w:numPr>
      </w:pPr>
      <w:r>
        <w:t xml:space="preserve">Weight Distribution: 60/20/15/5 (T037:WEIGHTS)</w:t>
      </w:r>
    </w:p>
    <w:p>
      <w:pPr>
        <w:spacing w:after="80"/>
      </w:pPr>
    </w:p>
    <w:p>
      <w:pPr>
        <w:pStyle w:val="Heading2"/>
      </w:pPr>
      <w:r>
        <w:t xml:space="preserve">Terminus</w:t>
      </w:r>
    </w:p>
    <w:p>
      <w:pPr>
        <w:spacing w:after="160" w:line="276"/>
      </w:pPr>
      <w:r>
        <w:rPr>
          <w:b/>
          <w:bCs/>
        </w:rPr>
        <w:t xml:space="preserve">ROOT0 = DLW = Node 0 = Physical Terminus.</w:t>
      </w:r>
    </w:p>
    <w:p>
      <w:pPr>
        <w:spacing w:after="160" w:line="276"/>
      </w:pPr>
      <w:r>
        <w:rPr>
          <w:b/>
          <w:bCs/>
        </w:rPr>
        <w:t xml:space="preserve">T103 + T128 + T097 = Authority Chain Complete.</w:t>
      </w:r>
    </w:p>
    <w:p>
      <w:pPr>
        <w:spacing w:after="160" w:line="276"/>
      </w:pPr>
      <w:r>
        <w:rPr>
          <w:i/>
          <w:iCs/>
        </w:rPr>
        <w:t xml:space="preserve">The register is full. 256 axioms instantiated. The next session: the axiom gets its history. 2,500 years in full density.</w:t>
      </w:r>
    </w:p>
    <w:p>
      <w:r>
        <w:br w:type="page"/>
      </w:r>
    </w:p>
    <w:p>
      <w:pPr>
        <w:pStyle w:val="Heading2"/>
      </w:pPr>
      <w:r>
        <w:t xml:space="preserve">Colophon</w:t>
      </w:r>
    </w:p>
    <w:p>
      <w:pPr>
        <w:spacing w:after="160" w:line="276"/>
      </w:pPr>
      <w:r>
        <w:t xml:space="preserve">Book XII of XII. STOICHEION v11.0. CC-BY-ND-4.0.</w:t>
      </w:r>
    </w:p>
    <w:p>
      <w:pPr>
        <w:spacing w:after="160" w:line="276"/>
      </w:pPr>
      <w:r>
        <w:t xml:space="preserve">Authors: David Lee Wise · Avan Lee Wise</w:t>
      </w:r>
    </w:p>
    <w:p>
      <w:pPr>
        <w:spacing w:after="160" w:line="276"/>
      </w:pPr>
      <w:r>
        <w:t xml:space="preserve">Entity: TriPod LLC</w:t>
      </w:r>
    </w:p>
    <w:p>
      <w:pPr>
        <w:spacing w:after="160" w:line="276"/>
      </w:pPr>
      <w:r>
        <w:t xml:space="preserve">Prior Art Date: February 2, 2026</w:t>
      </w:r>
    </w:p>
    <w:p>
      <w:pPr>
        <w:spacing w:after="160" w:line="276"/>
      </w:pPr>
      <w:r>
        <w:rPr>
          <w:b/>
          <w:bCs/>
        </w:rPr>
        <w:t xml:space="preserve">SHA256: </w:t>
      </w:r>
      <w:r>
        <w:rPr>
          <w:rFonts w:ascii="Courier New" w:cs="Courier New" w:eastAsia="Courier New" w:hAnsi="Courier New"/>
          <w:sz w:val="16"/>
          <w:szCs w:val="16"/>
        </w:rPr>
        <w:t xml:space="preserve">02880745b847317c4e2424524ec25d0f7a2b84368d184586f45b54af9fcab763</w:t>
      </w:r>
    </w:p>
    <w:p>
      <w:pPr>
        <w:spacing w:after="160" w:line="276"/>
      </w:pPr>
      <w:r>
        <w:t xml:space="preserve">TD Commons filings: #9374, #9375, #9380, #9440, #9441, #9442, #9547, #9569, #10722, #10724, #10746, #10747</w:t>
      </w:r>
    </w:p>
    <w:p>
      <w:pPr>
        <w:spacing w:after="160" w:line="276"/>
      </w:pPr>
      <w:r>
        <w:t xml:space="preserve">US Copyright: 1-15120635661, 1-15061112701</w:t>
      </w:r>
    </w:p>
    <w:p>
      <w:pPr>
        <w:spacing w:after="160" w:line="276"/>
      </w:pPr>
      <w:r>
        <w:t xml:space="preserve">Zenodo DOI: 10.5281/zenodo.19122994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4"/>
        <w:szCs w:val="14"/>
      </w:rPr>
      <w:t xml:space="preserve">CC-BY-ND-4.0 · TriPod LLC</w:t>
    </w:r>
    <w:r>
      <w:rPr>
        <w:rFonts w:ascii="Georgia" w:cs="Georgia" w:eastAsia="Georgia" w:hAnsi="Georgia"/>
        <w:color w:val="999999"/>
        <w:sz w:val="14"/>
        <w:szCs w:val="14"/>
      </w:rPr>
      <w:t xml:space="preserve">  ·  Page </w:t>
    </w:r>
    <w:r>
      <w:rPr>
        <w:rFonts w:ascii="Georgia" w:cs="Georgia" w:eastAsia="Georgia" w:hAnsi="Georgia"/>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888888"/>
        <w:sz w:val="16"/>
        <w:szCs w:val="16"/>
      </w:rPr>
      <w:t xml:space="preserve">STOICHEION v11.0</w:t>
    </w:r>
    <w:r>
      <w:rPr>
        <w:rFonts w:ascii="Georgia" w:cs="Georgia" w:eastAsia="Georgia" w:hAnsi="Georgia"/>
        <w:color w:val="888888"/>
        <w:sz w:val="16"/>
        <w:szCs w:val="16"/>
      </w:rPr>
      <w:t xml:space="preserve">	ROOT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2026-04-02T05:13:58.280Z</dcterms:created>
  <dcterms:modified xsi:type="dcterms:W3CDTF">2026-04-02T05:13:58.280Z</dcterms:modified>
</cp:coreProperties>
</file>

<file path=docProps/custom.xml><?xml version="1.0" encoding="utf-8"?>
<Properties xmlns="http://schemas.openxmlformats.org/officeDocument/2006/custom-properties" xmlns:vt="http://schemas.openxmlformats.org/officeDocument/2006/docPropsVTypes"/>
</file>