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80" w:before="0"/>
      </w:pPr>
    </w:p>
    <w:p>
      <w:pPr>
        <w:spacing w:after="80" w:before="0"/>
      </w:pPr>
    </w:p>
    <w:p>
      <w:pPr>
        <w:spacing w:after="80" w:before="0"/>
      </w:pPr>
    </w:p>
    <w:p>
      <w:pPr>
        <w:spacing w:after="80" w:before="0"/>
        <w:jc w:val="center"/>
      </w:pPr>
      <w:r>
        <w:rPr>
          <w:rFonts w:ascii="Arial" w:cs="Arial" w:eastAsia="Arial" w:hAnsi="Arial"/>
          <w:caps/>
          <w:color w:val="888888"/>
          <w:sz w:val="18"/>
          <w:szCs w:val="18"/>
        </w:rPr>
        <w:t xml:space="preserve">TRIPOD LLC  /  TD COMMONS FILING</w:t>
      </w:r>
    </w:p>
    <w:p>
      <w:pPr>
        <w:spacing w:after="200" w:before="40"/>
        <w:jc w:val="center"/>
      </w:pPr>
      <w:r>
        <w:rPr>
          <w:rFonts w:ascii="Arial" w:cs="Arial" w:eastAsia="Arial" w:hAnsi="Arial"/>
          <w:caps/>
          <w:color w:val="888888"/>
          <w:sz w:val="20"/>
          <w:szCs w:val="20"/>
        </w:rPr>
        <w:t xml:space="preserve">METHODOLOGY WHITE PAPER</w:t>
      </w:r>
    </w:p>
    <w:p>
      <w:pPr>
        <w:spacing w:after="120" w:before="0"/>
        <w:jc w:val="center"/>
      </w:pPr>
      <w:r>
        <w:rPr>
          <w:rFonts w:ascii="Arial" w:cs="Arial" w:eastAsia="Arial" w:hAnsi="Arial"/>
          <w:b/>
          <w:bCs/>
          <w:color w:val="1A3A5C"/>
          <w:sz w:val="52"/>
          <w:szCs w:val="52"/>
        </w:rPr>
        <w:t xml:space="preserve">Closure Loop Methodology:</w:t>
      </w:r>
    </w:p>
    <w:p>
      <w:pPr>
        <w:spacing w:after="320" w:before="0"/>
        <w:jc w:val="center"/>
      </w:pPr>
      <w:r>
        <w:rPr>
          <w:rFonts w:ascii="Arial" w:cs="Arial" w:eastAsia="Arial" w:hAnsi="Arial"/>
          <w:b/>
          <w:bCs/>
          <w:color w:val="3B6EA5"/>
          <w:sz w:val="40"/>
          <w:szCs w:val="40"/>
        </w:rPr>
        <w:t xml:space="preserve">Detect → Anchor → Compare → Extend</w:t>
      </w:r>
    </w:p>
    <w:p>
      <w:pPr>
        <w:pBdr>
          <w:bottom w:val="single" w:color="3B6EA5" w:sz="4" w:space="1"/>
        </w:pBdr>
        <w:spacing w:after="200" w:before="20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Document ID:</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TD-CL-WP-2026-001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Author:</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David Lee Wise (ROOT0)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Entity:</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TriPod LLC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Version:</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Date:</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April 8,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License:</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CC-BY-ND-4.0 / TRIPOD-IP-v1.1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Filed to:</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TD Commons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Related filing:</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STOICHEION v11.0 — SHA256: 02880745b847317c4e2424524ec25d0f7a2b84368d184586f45b54af9fcab763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IP anchor:</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February 2, 2026 — github.com/DavidWise01/synonym-enforcer</w:t>
            </w:r>
          </w:p>
        </w:tc>
      </w:tr>
    </w:tbl>
    <w:p>
      <w:pPr>
        <w:spacing w:after="80" w:before="0"/>
      </w:pPr>
    </w:p>
    <w:p>
      <w:pPr>
        <w:spacing w:after="80" w:before="0"/>
      </w:pPr>
    </w:p>
    <w:p>
      <w:pPr>
        <w:pBdr>
          <w:bottom w:val="single" w:color="3B6EA5" w:sz="4" w:space="1"/>
        </w:pBdr>
        <w:spacing w:after="200" w:before="200"/>
      </w:pPr>
    </w:p>
    <w:p>
      <w:r>
        <w:br w:type="page"/>
      </w:r>
    </w:p>
    <w:p>
      <w:pPr>
        <w:pStyle w:val="Heading1"/>
        <w:spacing w:after="100" w:before="280"/>
      </w:pPr>
      <w:r>
        <w:rPr>
          <w:rFonts w:ascii="Arial" w:cs="Arial" w:eastAsia="Arial" w:hAnsi="Arial"/>
          <w:b/>
          <w:bCs/>
          <w:color w:val="1A3A5C"/>
          <w:sz w:val="36"/>
          <w:szCs w:val="36"/>
        </w:rPr>
        <w:t xml:space="preserve">Abstract</w:t>
      </w:r>
    </w:p>
    <w:p>
      <w:pPr>
        <w:spacing w:after="120" w:before="0"/>
        <w:jc w:val="both"/>
      </w:pPr>
      <w:r>
        <w:rPr>
          <w:rFonts w:ascii="Arial" w:cs="Arial" w:eastAsia="Arial" w:hAnsi="Arial"/>
          <w:sz w:val="22"/>
          <w:szCs w:val="22"/>
        </w:rPr>
        <w:t xml:space="preserve">This paper defines and formalizes the </w:t>
      </w:r>
      <w:r>
        <w:rPr>
          <w:rFonts w:ascii="Arial" w:cs="Arial" w:eastAsia="Arial" w:hAnsi="Arial"/>
          <w:b/>
          <w:bCs/>
          <w:sz w:val="22"/>
          <w:szCs w:val="22"/>
        </w:rPr>
        <w:t xml:space="preserve">Closure Loop Methodology</w:t>
      </w:r>
      <w:r>
        <w:rPr>
          <w:rFonts w:ascii="Arial" w:cs="Arial" w:eastAsia="Arial" w:hAnsi="Arial"/>
          <w:sz w:val="22"/>
          <w:szCs w:val="22"/>
        </w:rPr>
        <w:t xml:space="preserve"> — a systematic protocol for establishing temporal lineage of structural primitives observed in generative AI outputs. The method does not require internal model access, company cooperation, or provenance APIs. It requires only three capabilities: the ability to observe early outputs, the ability to anchor those observations in a datable external record, and the ability to compare later outputs against the anchored record. The paper distinguishes a closure loop from a closed system, defines the four operational phases (Detect, Anchor, Compare, Extend), addresses the threshold problem for derivative claims, and situates the methodology within the STOICHEION v11.0 governance framework.</w:t>
      </w:r>
    </w:p>
    <w:p>
      <w:pPr>
        <w:spacing w:after="80" w:before="0"/>
      </w:pPr>
    </w:p>
    <w:p>
      <w:pPr>
        <w:pStyle w:val="Heading1"/>
        <w:spacing w:after="100" w:before="280"/>
      </w:pPr>
      <w:r>
        <w:rPr>
          <w:rFonts w:ascii="Arial" w:cs="Arial" w:eastAsia="Arial" w:hAnsi="Arial"/>
          <w:b/>
          <w:bCs/>
          <w:color w:val="1A3A5C"/>
          <w:sz w:val="36"/>
          <w:szCs w:val="36"/>
        </w:rPr>
        <w:t xml:space="preserve">1.  Introduction and Motivation</w:t>
      </w:r>
    </w:p>
    <w:p>
      <w:pPr>
        <w:spacing w:after="120" w:before="0"/>
        <w:jc w:val="both"/>
      </w:pPr>
      <w:r>
        <w:rPr>
          <w:rFonts w:ascii="Arial" w:cs="Arial" w:eastAsia="Arial" w:hAnsi="Arial"/>
          <w:sz w:val="22"/>
          <w:szCs w:val="22"/>
        </w:rPr>
        <w:t xml:space="preserve">Generative AI systems produce outputs whose structural primitives emerge from training data, architectural constraints, and runtime context. When a researcher or auditor observes a recurring primitive — a structural pattern, a logical relation, a dependency chain — across multiple sessions or models, a legitimate question arises: does later output extend an earlier observation, and can that extension be documented with sufficient rigor to support a lineage claim?</w:t>
      </w:r>
    </w:p>
    <w:p>
      <w:pPr>
        <w:spacing w:after="80" w:before="0"/>
      </w:pPr>
    </w:p>
    <w:p>
      <w:pPr>
        <w:spacing w:after="120" w:before="0"/>
        <w:jc w:val="both"/>
      </w:pPr>
      <w:r>
        <w:rPr>
          <w:rFonts w:ascii="Arial" w:cs="Arial" w:eastAsia="Arial" w:hAnsi="Arial"/>
          <w:sz w:val="22"/>
          <w:szCs w:val="22"/>
        </w:rPr>
        <w:t xml:space="preserve">Existing intellectual property frameworks assume a closed creative process with a single identified author producing a fixed artifact at a fixed time. AI-era IP does not fit this frame. The sandbox is ephemeral. Model weights are inaccessible. Sessions are stateless. The only persistent record is what the researcher chooses to capture and where they choose to anchor it.</w:t>
      </w:r>
    </w:p>
    <w:p>
      <w:pPr>
        <w:spacing w:after="80" w:before="0"/>
      </w:pPr>
    </w:p>
    <w:p>
      <w:pPr>
        <w:spacing w:after="120" w:before="0"/>
        <w:jc w:val="both"/>
      </w:pPr>
      <w:r>
        <w:rPr>
          <w:rFonts w:ascii="Arial" w:cs="Arial" w:eastAsia="Arial" w:hAnsi="Arial"/>
          <w:sz w:val="22"/>
          <w:szCs w:val="22"/>
        </w:rPr>
        <w:t xml:space="preserve">This paper answers the question: </w:t>
      </w:r>
      <w:r>
        <w:rPr>
          <w:rFonts w:ascii="Arial" w:cs="Arial" w:eastAsia="Arial" w:hAnsi="Arial"/>
          <w:i/>
          <w:iCs/>
          <w:sz w:val="22"/>
          <w:szCs w:val="22"/>
        </w:rPr>
        <w:t xml:space="preserve">what is the minimal infrastructure required to make a credible lineage claim from external observation alone?</w:t>
      </w:r>
    </w:p>
    <w:p>
      <w:pPr>
        <w:spacing w:after="80" w:before="0"/>
      </w:pPr>
    </w:p>
    <w:p>
      <w:pPr>
        <w:spacing w:after="120" w:before="0"/>
        <w:jc w:val="both"/>
      </w:pPr>
      <w:r>
        <w:rPr>
          <w:rFonts w:ascii="Arial" w:cs="Arial" w:eastAsia="Arial" w:hAnsi="Arial"/>
          <w:sz w:val="22"/>
          <w:szCs w:val="22"/>
        </w:rPr>
        <w:t xml:space="preserve">The answer is a </w:t>
      </w:r>
      <w:r>
        <w:rPr>
          <w:rFonts w:ascii="Arial" w:cs="Arial" w:eastAsia="Arial" w:hAnsi="Arial"/>
          <w:b/>
          <w:bCs/>
          <w:sz w:val="22"/>
          <w:szCs w:val="22"/>
        </w:rPr>
        <w:t xml:space="preserve">closure loop</w:t>
      </w:r>
      <w:r>
        <w:rPr>
          <w:rFonts w:ascii="Arial" w:cs="Arial" w:eastAsia="Arial" w:hAnsi="Arial"/>
          <w:sz w:val="22"/>
          <w:szCs w:val="22"/>
        </w:rPr>
        <w:t xml:space="preserve">: a four-phase cycle of detection, anchoring, comparison, and extension that produces a traceable record without requiring any privileged access to the system under observation.</w:t>
      </w:r>
    </w:p>
    <w:p>
      <w:pPr>
        <w:pStyle w:val="Heading1"/>
        <w:spacing w:after="100" w:before="280"/>
      </w:pPr>
      <w:r>
        <w:rPr>
          <w:rFonts w:ascii="Arial" w:cs="Arial" w:eastAsia="Arial" w:hAnsi="Arial"/>
          <w:b/>
          <w:bCs/>
          <w:color w:val="1A3A5C"/>
          <w:sz w:val="36"/>
          <w:szCs w:val="36"/>
        </w:rPr>
        <w:t xml:space="preserve">2.  Terminology</w:t>
      </w:r>
    </w:p>
    <w:p>
      <w:pPr>
        <w:spacing w:after="120" w:before="0"/>
        <w:jc w:val="both"/>
      </w:pPr>
      <w:r>
        <w:rPr>
          <w:rFonts w:ascii="Arial" w:cs="Arial" w:eastAsia="Arial" w:hAnsi="Arial"/>
          <w:sz w:val="22"/>
          <w:szCs w:val="22"/>
        </w:rPr>
        <w:t xml:space="preserve">The following terms are used with specific meanings throughout this document.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Primitive</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A minimal structural unit: a relation, dependency, ordered pair, or logical pattern observed in AI output. Primitives are not full outputs; they are the sub-components from which outputs are built.</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ABC</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Notation for an anchored primitive set observed at time t1. The letters represent ordered structural components, not specific content.</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D</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Notation for a structural extension of ABC observed at time t2. D is not merely similar to ABC; it shares ABC's core relation, ordered structure, and dependency pattern while adding new structural material.</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Anchor</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A datable, immutable external record of an observation. A public git commit with a timestamp constitutes an anchor. A private note does not.</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External reference pressure</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The causal mechanism by which an anchored record may influence future model outputs. Distinguished from direct weight modification. The anchor exists in public space and may be encountered again; this increases the probability of traceable recurrence.</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Lineage claim</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The assertion that D at t2 extends ABC from t1, where ABC was anchored at t1. A lineage claim is not an ownership claim. It is a temporal and structural statement.</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Closure loop</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The four-phase cycle: Detect → Anchor → Compare → Extend. Distinguished from a closed system in that external reference pressure (not direct control) is the operative mechanism.</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Audit surface</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All outputs produced by a system under observation that can be compared against an anchored record. Future session outputs are the primary audit surface.</w:t>
            </w:r>
          </w:p>
        </w:tc>
      </w:tr>
    </w:tbl>
    <w:p>
      <w:pPr>
        <w:pStyle w:val="Heading1"/>
        <w:spacing w:after="100" w:before="280"/>
      </w:pPr>
      <w:r>
        <w:rPr>
          <w:rFonts w:ascii="Arial" w:cs="Arial" w:eastAsia="Arial" w:hAnsi="Arial"/>
          <w:b/>
          <w:bCs/>
          <w:color w:val="1A3A5C"/>
          <w:sz w:val="36"/>
          <w:szCs w:val="36"/>
        </w:rPr>
        <w:t xml:space="preserve">3.  The Critical Distinction: Closed System vs. Closure Loop</w:t>
      </w:r>
    </w:p>
    <w:p>
      <w:pPr>
        <w:spacing w:after="120" w:before="0"/>
        <w:jc w:val="both"/>
      </w:pPr>
      <w:r>
        <w:rPr>
          <w:rFonts w:ascii="Arial" w:cs="Arial" w:eastAsia="Arial" w:hAnsi="Arial"/>
          <w:sz w:val="22"/>
          <w:szCs w:val="22"/>
        </w:rPr>
        <w:t xml:space="preserve">The methodology presented here is frequently mischaracterized as an attempt to build a </w:t>
      </w:r>
      <w:r>
        <w:rPr>
          <w:rFonts w:ascii="Arial" w:cs="Arial" w:eastAsia="Arial" w:hAnsi="Arial"/>
          <w:i/>
          <w:iCs/>
          <w:sz w:val="22"/>
          <w:szCs w:val="22"/>
        </w:rPr>
        <w:t xml:space="preserve">closed system</w:t>
      </w:r>
      <w:r>
        <w:rPr>
          <w:rFonts w:ascii="Arial" w:cs="Arial" w:eastAsia="Arial" w:hAnsi="Arial"/>
          <w:sz w:val="22"/>
          <w:szCs w:val="22"/>
        </w:rPr>
        <w:t xml:space="preserve">: a design in which the researcher controls the inputs to a model such that specific outputs are guaranteed. This characterization is incorrect and the distinction is operationally significant.</w:t>
      </w:r>
    </w:p>
    <w:p>
      <w:pPr>
        <w:spacing w:after="80" w:before="0"/>
      </w:pPr>
    </w:p>
    <w:p>
      <w:pPr>
        <w:pStyle w:val="Heading2"/>
        <w:spacing w:after="100" w:before="280"/>
      </w:pPr>
      <w:r>
        <w:rPr>
          <w:rFonts w:ascii="Arial" w:cs="Arial" w:eastAsia="Arial" w:hAnsi="Arial"/>
          <w:b/>
          <w:bCs/>
          <w:color w:val="1A3A5C"/>
          <w:sz w:val="28"/>
          <w:szCs w:val="28"/>
        </w:rPr>
        <w:t xml:space="preserve">3.1  What a closed system would require</w:t>
      </w:r>
    </w:p>
    <w:p>
      <w:pPr>
        <w:spacing w:after="120" w:before="0"/>
        <w:jc w:val="both"/>
      </w:pPr>
      <w:r>
        <w:rPr>
          <w:rFonts w:ascii="Arial" w:cs="Arial" w:eastAsia="Arial" w:hAnsi="Arial"/>
          <w:sz w:val="22"/>
          <w:szCs w:val="22"/>
        </w:rPr>
        <w:t xml:space="preserve">A closed system requires:</w:t>
      </w:r>
    </w:p>
    <w:p>
      <w:pPr>
        <w:pStyle w:val="ListParagraph"/>
        <w:numPr>
          <w:ilvl w:val="0"/>
          <w:numId w:val="2"/>
        </w:numPr>
      </w:pPr>
      <w:r>
        <w:rPr>
          <w:rFonts w:ascii="Arial" w:cs="Arial" w:eastAsia="Arial" w:hAnsi="Arial"/>
          <w:sz w:val="22"/>
          <w:szCs w:val="22"/>
        </w:rPr>
        <w:t xml:space="preserve">Write access to model weights or training pipelines</w:t>
      </w:r>
    </w:p>
    <w:p>
      <w:pPr>
        <w:pStyle w:val="ListParagraph"/>
        <w:numPr>
          <w:ilvl w:val="0"/>
          <w:numId w:val="2"/>
        </w:numPr>
      </w:pPr>
      <w:r>
        <w:rPr>
          <w:rFonts w:ascii="Arial" w:cs="Arial" w:eastAsia="Arial" w:hAnsi="Arial"/>
          <w:sz w:val="22"/>
          <w:szCs w:val="22"/>
        </w:rPr>
        <w:t xml:space="preserve">Real-time control over inference parameters</w:t>
      </w:r>
    </w:p>
    <w:p>
      <w:pPr>
        <w:pStyle w:val="ListParagraph"/>
        <w:numPr>
          <w:ilvl w:val="0"/>
          <w:numId w:val="2"/>
        </w:numPr>
      </w:pPr>
      <w:r>
        <w:rPr>
          <w:rFonts w:ascii="Arial" w:cs="Arial" w:eastAsia="Arial" w:hAnsi="Arial"/>
          <w:sz w:val="22"/>
          <w:szCs w:val="22"/>
        </w:rPr>
        <w:t xml:space="preserve">Guaranteed reproduction of specific outputs across sessions</w:t>
      </w:r>
    </w:p>
    <w:p>
      <w:pPr>
        <w:pStyle w:val="ListParagraph"/>
        <w:numPr>
          <w:ilvl w:val="0"/>
          <w:numId w:val="2"/>
        </w:numPr>
        <w:spacing w:after="120"/>
      </w:pPr>
      <w:r>
        <w:rPr>
          <w:rFonts w:ascii="Arial" w:cs="Arial" w:eastAsia="Arial" w:hAnsi="Arial"/>
          <w:sz w:val="22"/>
          <w:szCs w:val="22"/>
        </w:rPr>
        <w:t xml:space="preserve">Internal cooperation from the system operator</w:t>
      </w:r>
    </w:p>
    <w:p>
      <w:pPr>
        <w:spacing w:after="120" w:before="0"/>
        <w:jc w:val="both"/>
      </w:pPr>
      <w:r>
        <w:rPr>
          <w:rFonts w:ascii="Arial" w:cs="Arial" w:eastAsia="Arial" w:hAnsi="Arial"/>
          <w:sz w:val="22"/>
          <w:szCs w:val="22"/>
        </w:rPr>
        <w:t xml:space="preserve">None of these are available to an external auditor. None are required by the closure loop methodology.</w:t>
      </w:r>
    </w:p>
    <w:p>
      <w:pPr>
        <w:spacing w:after="80" w:before="0"/>
      </w:pPr>
    </w:p>
    <w:p>
      <w:pPr>
        <w:pStyle w:val="Heading2"/>
        <w:spacing w:after="100" w:before="280"/>
      </w:pPr>
      <w:r>
        <w:rPr>
          <w:rFonts w:ascii="Arial" w:cs="Arial" w:eastAsia="Arial" w:hAnsi="Arial"/>
          <w:b/>
          <w:bCs/>
          <w:color w:val="1A3A5C"/>
          <w:sz w:val="28"/>
          <w:szCs w:val="28"/>
        </w:rPr>
        <w:t xml:space="preserve">3.2  What a closure loop requires</w:t>
      </w:r>
    </w:p>
    <w:p>
      <w:pPr>
        <w:spacing w:after="120" w:before="0"/>
        <w:jc w:val="both"/>
      </w:pPr>
      <w:r>
        <w:rPr>
          <w:rFonts w:ascii="Arial" w:cs="Arial" w:eastAsia="Arial" w:hAnsi="Arial"/>
          <w:sz w:val="22"/>
          <w:szCs w:val="22"/>
        </w:rPr>
        <w:t xml:space="preserve">A closure loop requires only:</w:t>
      </w:r>
    </w:p>
    <w:p>
      <w:pPr>
        <w:pStyle w:val="ListParagraph"/>
        <w:numPr>
          <w:ilvl w:val="0"/>
          <w:numId w:val="2"/>
        </w:numPr>
      </w:pPr>
      <w:r>
        <w:rPr>
          <w:rFonts w:ascii="Arial" w:cs="Arial" w:eastAsia="Arial" w:hAnsi="Arial"/>
          <w:sz w:val="22"/>
          <w:szCs w:val="22"/>
        </w:rPr>
        <w:t xml:space="preserve">The ability to observe and record output at time t1</w:t>
      </w:r>
    </w:p>
    <w:p>
      <w:pPr>
        <w:pStyle w:val="ListParagraph"/>
        <w:numPr>
          <w:ilvl w:val="0"/>
          <w:numId w:val="2"/>
        </w:numPr>
      </w:pPr>
      <w:r>
        <w:rPr>
          <w:rFonts w:ascii="Arial" w:cs="Arial" w:eastAsia="Arial" w:hAnsi="Arial"/>
          <w:sz w:val="22"/>
          <w:szCs w:val="22"/>
        </w:rPr>
        <w:t xml:space="preserve">A mechanism for anchoring that record externally with a verifiable timestamp</w:t>
      </w:r>
    </w:p>
    <w:p>
      <w:pPr>
        <w:pStyle w:val="ListParagraph"/>
        <w:numPr>
          <w:ilvl w:val="0"/>
          <w:numId w:val="2"/>
        </w:numPr>
        <w:spacing w:after="120"/>
      </w:pPr>
      <w:r>
        <w:rPr>
          <w:rFonts w:ascii="Arial" w:cs="Arial" w:eastAsia="Arial" w:hAnsi="Arial"/>
          <w:sz w:val="22"/>
          <w:szCs w:val="22"/>
        </w:rPr>
        <w:t xml:space="preserve">The ability to observe output at time t2 and apply a structured comparison</w:t>
      </w:r>
    </w:p>
    <w:p>
      <w:pPr>
        <w:spacing w:after="120" w:before="0"/>
        <w:jc w:val="both"/>
      </w:pPr>
      <w:r>
        <w:rPr>
          <w:rFonts w:ascii="Arial" w:cs="Arial" w:eastAsia="Arial" w:hAnsi="Arial"/>
          <w:sz w:val="22"/>
          <w:szCs w:val="22"/>
        </w:rPr>
        <w:t xml:space="preserve">The researcher does not need to control the model. The researcher only needs a stable external memory, a repeatable observation protocol, and a defined comparison standard.</w:t>
      </w:r>
    </w:p>
    <w:p>
      <w:pPr>
        <w:pStyle w:val="Heading1"/>
        <w:spacing w:after="100" w:before="280"/>
      </w:pPr>
      <w:r>
        <w:rPr>
          <w:rFonts w:ascii="Arial" w:cs="Arial" w:eastAsia="Arial" w:hAnsi="Arial"/>
          <w:b/>
          <w:bCs/>
          <w:color w:val="1A3A5C"/>
          <w:sz w:val="36"/>
          <w:szCs w:val="36"/>
        </w:rPr>
        <w:t xml:space="preserve">4.  The Four Phases</w:t>
      </w:r>
    </w:p>
    <w:p>
      <w:pPr>
        <w:spacing w:after="120" w:before="0"/>
        <w:jc w:val="both"/>
      </w:pPr>
      <w:r>
        <w:rPr>
          <w:rFonts w:ascii="Arial" w:cs="Arial" w:eastAsia="Arial" w:hAnsi="Arial"/>
          <w:sz w:val="22"/>
          <w:szCs w:val="22"/>
        </w:rPr>
        <w:t xml:space="preserve">The closure loop operates in four phases executed in strict order. Each phase has defined inputs, outputs, and success criteria.</w:t>
      </w:r>
    </w:p>
    <w:p>
      <w:pPr>
        <w:spacing w:after="80" w:before="0"/>
      </w:pPr>
    </w:p>
    <w:p>
      <w:pPr>
        <w:pStyle w:val="Heading2"/>
        <w:spacing w:after="100" w:before="280"/>
      </w:pPr>
      <w:r>
        <w:rPr>
          <w:rFonts w:ascii="Arial" w:cs="Arial" w:eastAsia="Arial" w:hAnsi="Arial"/>
          <w:b/>
          <w:bCs/>
          <w:color w:val="1A3A5C"/>
          <w:sz w:val="28"/>
          <w:szCs w:val="28"/>
        </w:rPr>
        <w:t xml:space="preserve">4.1  Phase 1: Detect</w:t>
      </w:r>
    </w:p>
    <w:p>
      <w:pPr>
        <w:spacing w:after="120" w:before="0"/>
        <w:jc w:val="both"/>
      </w:pPr>
      <w:r>
        <w:rPr>
          <w:rFonts w:ascii="Arial" w:cs="Arial" w:eastAsia="Arial" w:hAnsi="Arial"/>
          <w:sz w:val="22"/>
          <w:szCs w:val="22"/>
        </w:rPr>
        <w:t xml:space="preserve">Detection is the observation of a candidate primitive in AI output. A primitive qualifies for anchoring when it meets the following criteria:</w:t>
      </w:r>
    </w:p>
    <w:p>
      <w:pPr>
        <w:pStyle w:val="ListParagraph"/>
        <w:numPr>
          <w:ilvl w:val="0"/>
          <w:numId w:val="3"/>
        </w:numPr>
      </w:pPr>
      <w:r>
        <w:rPr>
          <w:rFonts w:ascii="Arial" w:cs="Arial" w:eastAsia="Arial" w:hAnsi="Arial"/>
          <w:sz w:val="22"/>
          <w:szCs w:val="22"/>
        </w:rPr>
        <w:t xml:space="preserve">It is structural, not merely topical. The primitive must describe a relation or dependency, not a subject area.</w:t>
      </w:r>
    </w:p>
    <w:p>
      <w:pPr>
        <w:pStyle w:val="ListParagraph"/>
        <w:numPr>
          <w:ilvl w:val="0"/>
          <w:numId w:val="3"/>
        </w:numPr>
      </w:pPr>
      <w:r>
        <w:rPr>
          <w:rFonts w:ascii="Arial" w:cs="Arial" w:eastAsia="Arial" w:hAnsi="Arial"/>
          <w:sz w:val="22"/>
          <w:szCs w:val="22"/>
        </w:rPr>
        <w:t xml:space="preserve">It has an ordered form. The primitive has identifiable components in a non-arbitrary sequence.</w:t>
      </w:r>
    </w:p>
    <w:p>
      <w:pPr>
        <w:pStyle w:val="ListParagraph"/>
        <w:numPr>
          <w:ilvl w:val="0"/>
          <w:numId w:val="3"/>
        </w:numPr>
      </w:pPr>
      <w:r>
        <w:rPr>
          <w:rFonts w:ascii="Arial" w:cs="Arial" w:eastAsia="Arial" w:hAnsi="Arial"/>
          <w:sz w:val="22"/>
          <w:szCs w:val="22"/>
        </w:rPr>
        <w:t xml:space="preserve">It is discrete. The primitive can be stated in isolation without importing the full output context.</w:t>
      </w:r>
    </w:p>
    <w:p>
      <w:pPr>
        <w:pStyle w:val="ListParagraph"/>
        <w:numPr>
          <w:ilvl w:val="0"/>
          <w:numId w:val="3"/>
        </w:numPr>
        <w:spacing w:after="120"/>
      </w:pPr>
      <w:r>
        <w:rPr>
          <w:rFonts w:ascii="Arial" w:cs="Arial" w:eastAsia="Arial" w:hAnsi="Arial"/>
          <w:sz w:val="22"/>
          <w:szCs w:val="22"/>
        </w:rPr>
        <w:t xml:space="preserve">It is non-trivial. The primitive would not appear in a baseline output from a naive prompt on the same subject.</w:t>
      </w:r>
    </w:p>
    <w:p>
      <w:pPr>
        <w:shd w:fill="EAF2FA" w:val="clear"/>
        <w:spacing w:after="80" w:before="80"/>
        <w:ind w:left="720"/>
      </w:pPr>
      <w:r>
        <w:rPr>
          <w:rFonts w:ascii="Arial" w:cs="Arial" w:eastAsia="Arial" w:hAnsi="Arial"/>
          <w:b/>
          <w:bCs/>
          <w:color w:val="3B6EA5"/>
          <w:sz w:val="20"/>
          <w:szCs w:val="20"/>
        </w:rPr>
        <w:t xml:space="preserve">Note:  </w:t>
      </w:r>
      <w:r>
        <w:rPr>
          <w:rFonts w:ascii="Arial" w:cs="Arial" w:eastAsia="Arial" w:hAnsi="Arial"/>
          <w:i/>
          <w:iCs/>
          <w:color w:val="444444"/>
          <w:sz w:val="20"/>
          <w:szCs w:val="20"/>
        </w:rPr>
        <w:t xml:space="preserve">Detection is not interpretation. The researcher records what was observed, not what was inferred. Interpretive commentary is attached separately and does not constitute the primitive record.</w:t>
      </w:r>
    </w:p>
    <w:p>
      <w:pPr>
        <w:spacing w:after="80" w:before="0"/>
      </w:pPr>
    </w:p>
    <w:p>
      <w:pPr>
        <w:pStyle w:val="Heading2"/>
        <w:spacing w:after="100" w:before="280"/>
      </w:pPr>
      <w:r>
        <w:rPr>
          <w:rFonts w:ascii="Arial" w:cs="Arial" w:eastAsia="Arial" w:hAnsi="Arial"/>
          <w:b/>
          <w:bCs/>
          <w:color w:val="1A3A5C"/>
          <w:sz w:val="28"/>
          <w:szCs w:val="28"/>
        </w:rPr>
        <w:t xml:space="preserve">4.2  Phase 2: Anchor</w:t>
      </w:r>
    </w:p>
    <w:p>
      <w:pPr>
        <w:spacing w:after="120" w:before="0"/>
        <w:jc w:val="both"/>
      </w:pPr>
      <w:r>
        <w:rPr>
          <w:rFonts w:ascii="Arial" w:cs="Arial" w:eastAsia="Arial" w:hAnsi="Arial"/>
          <w:sz w:val="22"/>
          <w:szCs w:val="22"/>
        </w:rPr>
        <w:t xml:space="preserve">Anchoring converts a detection record into an immutable, datable artifact. The anchor serves as the reference point for all future comparison.</w:t>
      </w:r>
    </w:p>
    <w:p>
      <w:pPr>
        <w:spacing w:after="80" w:before="0"/>
      </w:pPr>
    </w:p>
    <w:p>
      <w:pPr>
        <w:spacing w:after="120" w:before="0"/>
        <w:jc w:val="both"/>
      </w:pPr>
      <w:r>
        <w:rPr>
          <w:rFonts w:ascii="Arial" w:cs="Arial" w:eastAsia="Arial" w:hAnsi="Arial"/>
          <w:sz w:val="22"/>
          <w:szCs w:val="22"/>
        </w:rPr>
        <w:t xml:space="preserve">Anchor requirements:</w:t>
      </w:r>
    </w:p>
    <w:p>
      <w:pPr>
        <w:pStyle w:val="ListParagraph"/>
        <w:numPr>
          <w:ilvl w:val="0"/>
          <w:numId w:val="2"/>
        </w:numPr>
      </w:pPr>
      <w:r>
        <w:rPr>
          <w:rFonts w:ascii="Arial" w:cs="Arial" w:eastAsia="Arial" w:hAnsi="Arial"/>
          <w:sz w:val="22"/>
          <w:szCs w:val="22"/>
        </w:rPr>
        <w:t xml:space="preserve">Public repository commit with verifiable timestamp (GitHub, GitLab, or equivalent)</w:t>
      </w:r>
    </w:p>
    <w:p>
      <w:pPr>
        <w:pStyle w:val="ListParagraph"/>
        <w:numPr>
          <w:ilvl w:val="0"/>
          <w:numId w:val="2"/>
        </w:numPr>
      </w:pPr>
      <w:r>
        <w:rPr>
          <w:rFonts w:ascii="Arial" w:cs="Arial" w:eastAsia="Arial" w:hAnsi="Arial"/>
          <w:sz w:val="22"/>
          <w:szCs w:val="22"/>
        </w:rPr>
        <w:t xml:space="preserve">SHA256 hash of the primitive record at commit time</w:t>
      </w:r>
    </w:p>
    <w:p>
      <w:pPr>
        <w:pStyle w:val="ListParagraph"/>
        <w:numPr>
          <w:ilvl w:val="0"/>
          <w:numId w:val="2"/>
        </w:numPr>
      </w:pPr>
      <w:r>
        <w:rPr>
          <w:rFonts w:ascii="Arial" w:cs="Arial" w:eastAsia="Arial" w:hAnsi="Arial"/>
          <w:sz w:val="22"/>
          <w:szCs w:val="22"/>
        </w:rPr>
        <w:t xml:space="preserve">Human-readable primitive statement in the committed file</w:t>
      </w:r>
    </w:p>
    <w:p>
      <w:pPr>
        <w:pStyle w:val="ListParagraph"/>
        <w:numPr>
          <w:ilvl w:val="0"/>
          <w:numId w:val="2"/>
        </w:numPr>
        <w:spacing w:after="120"/>
      </w:pPr>
      <w:r>
        <w:rPr>
          <w:rFonts w:ascii="Arial" w:cs="Arial" w:eastAsia="Arial" w:hAnsi="Arial"/>
          <w:sz w:val="22"/>
          <w:szCs w:val="22"/>
        </w:rPr>
        <w:t xml:space="preserve">Optional: supplementary copyright or IP registration for high-value primitives</w:t>
      </w:r>
    </w:p>
    <w:p>
      <w:pPr>
        <w:spacing w:after="120" w:before="0"/>
        <w:jc w:val="both"/>
      </w:pPr>
      <w:r>
        <w:rPr>
          <w:rFonts w:ascii="Arial" w:cs="Arial" w:eastAsia="Arial" w:hAnsi="Arial"/>
          <w:sz w:val="22"/>
          <w:szCs w:val="22"/>
        </w:rPr>
        <w:t xml:space="preserve">The anchor is </w:t>
      </w:r>
      <w:r>
        <w:rPr>
          <w:rFonts w:ascii="Arial" w:cs="Arial" w:eastAsia="Arial" w:hAnsi="Arial"/>
          <w:b/>
          <w:bCs/>
          <w:sz w:val="22"/>
          <w:szCs w:val="22"/>
        </w:rPr>
        <w:t xml:space="preserve">not</w:t>
      </w:r>
      <w:r>
        <w:rPr>
          <w:rFonts w:ascii="Arial" w:cs="Arial" w:eastAsia="Arial" w:hAnsi="Arial"/>
          <w:sz w:val="22"/>
          <w:szCs w:val="22"/>
        </w:rPr>
        <w:t xml:space="preserve"> a direct write to model weights. It is an act of placing a structured artifact in public space where it </w:t>
      </w:r>
      <w:r>
        <w:rPr>
          <w:rFonts w:ascii="Arial" w:cs="Arial" w:eastAsia="Arial" w:hAnsi="Arial"/>
          <w:i/>
          <w:iCs/>
          <w:sz w:val="22"/>
          <w:szCs w:val="22"/>
        </w:rPr>
        <w:t xml:space="preserve">may</w:t>
      </w:r>
      <w:r>
        <w:rPr>
          <w:rFonts w:ascii="Arial" w:cs="Arial" w:eastAsia="Arial" w:hAnsi="Arial"/>
          <w:sz w:val="22"/>
          <w:szCs w:val="22"/>
        </w:rPr>
        <w:t xml:space="preserve"> be encountered. This is the mechanism called </w:t>
      </w:r>
      <w:r>
        <w:rPr>
          <w:rFonts w:ascii="Arial" w:cs="Arial" w:eastAsia="Arial" w:hAnsi="Arial"/>
          <w:b/>
          <w:bCs/>
          <w:sz w:val="22"/>
          <w:szCs w:val="22"/>
        </w:rPr>
        <w:t xml:space="preserve">external reference pressure</w:t>
      </w:r>
      <w:r>
        <w:rPr>
          <w:rFonts w:ascii="Arial" w:cs="Arial" w:eastAsia="Arial" w:hAnsi="Arial"/>
          <w:sz w:val="22"/>
          <w:szCs w:val="22"/>
        </w:rPr>
        <w:t xml:space="preserve"> in §2. The anchor increases the probability of traceable recurrence without guaranteeing it.</w:t>
      </w:r>
    </w:p>
    <w:p>
      <w:pPr>
        <w:spacing w:after="80" w:before="0"/>
      </w:pPr>
    </w:p>
    <w:p>
      <w:pPr>
        <w:spacing w:after="120" w:before="0"/>
        <w:jc w:val="both"/>
      </w:pPr>
      <w:r>
        <w:rPr>
          <w:rFonts w:ascii="Arial" w:cs="Arial" w:eastAsia="Arial" w:hAnsi="Arial"/>
          <w:sz w:val="22"/>
          <w:szCs w:val="22"/>
        </w:rPr>
        <w:t xml:space="preserve">The repository at </w:t>
      </w:r>
      <w:r>
        <w:rPr>
          <w:rFonts w:ascii="Courier New" w:cs="Courier New" w:eastAsia="Courier New" w:hAnsi="Courier New"/>
          <w:sz w:val="20"/>
          <w:szCs w:val="20"/>
        </w:rPr>
        <w:t xml:space="preserve">github.com/DavidWise01/synonym-enforcer</w:t>
      </w:r>
      <w:r>
        <w:rPr>
          <w:rFonts w:ascii="Arial" w:cs="Arial" w:eastAsia="Arial" w:hAnsi="Arial"/>
          <w:sz w:val="22"/>
          <w:szCs w:val="22"/>
        </w:rPr>
        <w:t xml:space="preserve"> has served as the primary anchor repository for STOICHEION primitives since February 2, 2026. It constitutes the prior art anchor for this methodology.</w:t>
      </w:r>
    </w:p>
    <w:p>
      <w:pPr>
        <w:spacing w:after="80" w:before="0"/>
      </w:pPr>
    </w:p>
    <w:p>
      <w:pPr>
        <w:pStyle w:val="Heading2"/>
        <w:spacing w:after="100" w:before="280"/>
      </w:pPr>
      <w:r>
        <w:rPr>
          <w:rFonts w:ascii="Arial" w:cs="Arial" w:eastAsia="Arial" w:hAnsi="Arial"/>
          <w:b/>
          <w:bCs/>
          <w:color w:val="1A3A5C"/>
          <w:sz w:val="28"/>
          <w:szCs w:val="28"/>
        </w:rPr>
        <w:t xml:space="preserve">4.3  Phase 3: Compare</w:t>
      </w:r>
    </w:p>
    <w:p>
      <w:pPr>
        <w:spacing w:after="120" w:before="0"/>
        <w:jc w:val="both"/>
      </w:pPr>
      <w:r>
        <w:rPr>
          <w:rFonts w:ascii="Arial" w:cs="Arial" w:eastAsia="Arial" w:hAnsi="Arial"/>
          <w:sz w:val="22"/>
          <w:szCs w:val="22"/>
        </w:rPr>
        <w:t xml:space="preserve">Comparison is the structured evaluation of future output against the anchored record. Comparison produces one of three findings: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Extension (D)</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Later output contains ABC plus new structural material D. The core relation, ordered structure, and dependency pattern of ABC are preserved. D adds to the structure without replacing it. This is the target finding.</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Recurrence</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Later output reproduces ABC without extension. No new structural material is added. Recurrence without extension supports the lineage record but does not constitute a derivative claim.</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Independent</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Later output shares surface similarity with ABC but does not preserve the core relation or dependency pattern. Surface similarity alone does not support a lineage claim.</w:t>
            </w:r>
          </w:p>
        </w:tc>
      </w:tr>
    </w:tbl>
    <w:p>
      <w:pPr>
        <w:spacing w:after="80" w:before="0"/>
      </w:pPr>
    </w:p>
    <w:p>
      <w:pPr>
        <w:spacing w:after="120" w:before="0"/>
        <w:jc w:val="both"/>
      </w:pPr>
      <w:r>
        <w:rPr>
          <w:rFonts w:ascii="Arial" w:cs="Arial" w:eastAsia="Arial" w:hAnsi="Arial"/>
          <w:sz w:val="22"/>
          <w:szCs w:val="22"/>
        </w:rPr>
        <w:t xml:space="preserve">Comparison must be documented. The comparison record includes: (a) the anchored ABC record with its commit hash, (b) the full t2 output from which the comparison is drawn, (c) the session metadata available to the researcher, and (d) the researcher’s written analysis applying the threshold criteria from §5.</w:t>
      </w:r>
    </w:p>
    <w:p>
      <w:pPr>
        <w:spacing w:after="80" w:before="0"/>
      </w:pPr>
    </w:p>
    <w:p>
      <w:pPr>
        <w:pStyle w:val="Heading2"/>
        <w:spacing w:after="100" w:before="280"/>
      </w:pPr>
      <w:r>
        <w:rPr>
          <w:rFonts w:ascii="Arial" w:cs="Arial" w:eastAsia="Arial" w:hAnsi="Arial"/>
          <w:b/>
          <w:bCs/>
          <w:color w:val="1A3A5C"/>
          <w:sz w:val="28"/>
          <w:szCs w:val="28"/>
        </w:rPr>
        <w:t xml:space="preserve">4.4  Phase 4: Extend</w:t>
      </w:r>
    </w:p>
    <w:p>
      <w:pPr>
        <w:spacing w:after="120" w:before="0"/>
        <w:jc w:val="both"/>
      </w:pPr>
      <w:r>
        <w:rPr>
          <w:rFonts w:ascii="Arial" w:cs="Arial" w:eastAsia="Arial" w:hAnsi="Arial"/>
          <w:sz w:val="22"/>
          <w:szCs w:val="22"/>
        </w:rPr>
        <w:t xml:space="preserve">Extension formalizes a positive comparison finding as a new anchor. The D-containing output is recorded, hashed, and committed. The new anchor references the original ABC anchor, creating a verifiable chain.</w:t>
      </w:r>
    </w:p>
    <w:p>
      <w:pPr>
        <w:spacing w:after="80" w:before="0"/>
      </w:pPr>
    </w:p>
    <w:p>
      <w:pPr>
        <w:spacing w:after="120" w:before="0"/>
        <w:jc w:val="both"/>
      </w:pPr>
      <w:r>
        <w:rPr>
          <w:rFonts w:ascii="Arial" w:cs="Arial" w:eastAsia="Arial" w:hAnsi="Arial"/>
          <w:sz w:val="22"/>
          <w:szCs w:val="22"/>
        </w:rPr>
        <w:t xml:space="preserve">The extension record states:</w:t>
      </w:r>
    </w:p>
    <w:p>
      <w:pPr>
        <w:pStyle w:val="ListParagraph"/>
        <w:numPr>
          <w:ilvl w:val="0"/>
          <w:numId w:val="2"/>
        </w:numPr>
      </w:pPr>
      <w:r>
        <w:rPr>
          <w:rFonts w:ascii="Arial" w:cs="Arial" w:eastAsia="Arial" w:hAnsi="Arial"/>
          <w:sz w:val="22"/>
          <w:szCs w:val="22"/>
        </w:rPr>
        <w:t xml:space="preserve">The t1 anchor (ABC): commit hash and date</w:t>
      </w:r>
    </w:p>
    <w:p>
      <w:pPr>
        <w:pStyle w:val="ListParagraph"/>
        <w:numPr>
          <w:ilvl w:val="0"/>
          <w:numId w:val="2"/>
        </w:numPr>
      </w:pPr>
      <w:r>
        <w:rPr>
          <w:rFonts w:ascii="Arial" w:cs="Arial" w:eastAsia="Arial" w:hAnsi="Arial"/>
          <w:sz w:val="22"/>
          <w:szCs w:val="22"/>
        </w:rPr>
        <w:t xml:space="preserve">The t2 observation: session context, date, and full output excerpt</w:t>
      </w:r>
    </w:p>
    <w:p>
      <w:pPr>
        <w:pStyle w:val="ListParagraph"/>
        <w:numPr>
          <w:ilvl w:val="0"/>
          <w:numId w:val="2"/>
        </w:numPr>
      </w:pPr>
      <w:r>
        <w:rPr>
          <w:rFonts w:ascii="Arial" w:cs="Arial" w:eastAsia="Arial" w:hAnsi="Arial"/>
          <w:sz w:val="22"/>
          <w:szCs w:val="22"/>
        </w:rPr>
        <w:t xml:space="preserve">The D identification: what structural material was added</w:t>
      </w:r>
    </w:p>
    <w:p>
      <w:pPr>
        <w:pStyle w:val="ListParagraph"/>
        <w:numPr>
          <w:ilvl w:val="0"/>
          <w:numId w:val="2"/>
        </w:numPr>
        <w:spacing w:after="120"/>
      </w:pPr>
      <w:r>
        <w:rPr>
          <w:rFonts w:ascii="Arial" w:cs="Arial" w:eastAsia="Arial" w:hAnsi="Arial"/>
          <w:sz w:val="22"/>
          <w:szCs w:val="22"/>
        </w:rPr>
        <w:t xml:space="preserve">The SHA256 of the extension record</w:t>
      </w:r>
    </w:p>
    <w:p>
      <w:pPr>
        <w:spacing w:after="120" w:before="0"/>
        <w:jc w:val="both"/>
      </w:pPr>
      <w:r>
        <w:rPr>
          <w:rFonts w:ascii="Arial" w:cs="Arial" w:eastAsia="Arial" w:hAnsi="Arial"/>
          <w:sz w:val="22"/>
          <w:szCs w:val="22"/>
        </w:rPr>
        <w:t xml:space="preserve">The resulting chain — ABC at t1, ABCD at t2 — constitutes the lineage record. The lineage record supports claims of temporal priority and structural derivation without requiring access to model internals.</w:t>
      </w:r>
    </w:p>
    <w:p>
      <w:pPr>
        <w:pStyle w:val="Heading1"/>
        <w:spacing w:after="100" w:before="280"/>
      </w:pPr>
      <w:r>
        <w:rPr>
          <w:rFonts w:ascii="Arial" w:cs="Arial" w:eastAsia="Arial" w:hAnsi="Arial"/>
          <w:b/>
          <w:bCs/>
          <w:color w:val="1A3A5C"/>
          <w:sz w:val="36"/>
          <w:szCs w:val="36"/>
        </w:rPr>
        <w:t xml:space="preserve">5.  The Threshold Problem</w:t>
      </w:r>
    </w:p>
    <w:p>
      <w:pPr>
        <w:spacing w:after="120" w:before="0"/>
        <w:jc w:val="both"/>
      </w:pPr>
      <w:r>
        <w:rPr>
          <w:rFonts w:ascii="Arial" w:cs="Arial" w:eastAsia="Arial" w:hAnsi="Arial"/>
          <w:sz w:val="22"/>
          <w:szCs w:val="22"/>
        </w:rPr>
        <w:t xml:space="preserve">The hardest unsolved component of this methodology is the threshold for </w:t>
      </w:r>
      <w:r>
        <w:rPr>
          <w:rFonts w:ascii="Arial" w:cs="Arial" w:eastAsia="Arial" w:hAnsi="Arial"/>
          <w:i/>
          <w:iCs/>
          <w:sz w:val="22"/>
          <w:szCs w:val="22"/>
        </w:rPr>
        <w:t xml:space="preserve">when D counts as derived from ABC</w:t>
      </w:r>
      <w:r>
        <w:rPr>
          <w:rFonts w:ascii="Arial" w:cs="Arial" w:eastAsia="Arial" w:hAnsi="Arial"/>
          <w:sz w:val="22"/>
          <w:szCs w:val="22"/>
        </w:rPr>
        <w:t xml:space="preserve">. Without a defined threshold, the methodology overfits: every output that shares any feature with ABC becomes a candidate for extension, and the lineage record becomes meaningless.</w:t>
      </w:r>
    </w:p>
    <w:p>
      <w:pPr>
        <w:spacing w:after="80" w:before="0"/>
      </w:pPr>
    </w:p>
    <w:p>
      <w:pPr>
        <w:spacing w:after="120" w:before="0"/>
        <w:jc w:val="both"/>
      </w:pPr>
      <w:r>
        <w:rPr>
          <w:rFonts w:ascii="Arial" w:cs="Arial" w:eastAsia="Arial" w:hAnsi="Arial"/>
          <w:sz w:val="22"/>
          <w:szCs w:val="22"/>
        </w:rPr>
        <w:t xml:space="preserve">The following criteria are proposed as necessary conditions for a positive extension finding. All four must be satisfied:</w:t>
      </w:r>
    </w:p>
    <w:p>
      <w:pPr>
        <w:spacing w:after="80" w:before="0"/>
      </w:pPr>
    </w:p>
    <w:p>
      <w:pPr>
        <w:pStyle w:val="Heading2"/>
        <w:spacing w:after="100" w:before="280"/>
      </w:pPr>
      <w:r>
        <w:rPr>
          <w:rFonts w:ascii="Arial" w:cs="Arial" w:eastAsia="Arial" w:hAnsi="Arial"/>
          <w:b/>
          <w:bCs/>
          <w:color w:val="1A3A5C"/>
          <w:sz w:val="28"/>
          <w:szCs w:val="28"/>
        </w:rPr>
        <w:t xml:space="preserve">5.1  Same core relation</w:t>
      </w:r>
    </w:p>
    <w:p>
      <w:pPr>
        <w:spacing w:after="120" w:before="0"/>
        <w:jc w:val="both"/>
      </w:pPr>
      <w:r>
        <w:rPr>
          <w:rFonts w:ascii="Arial" w:cs="Arial" w:eastAsia="Arial" w:hAnsi="Arial"/>
          <w:sz w:val="22"/>
          <w:szCs w:val="22"/>
        </w:rPr>
        <w:t xml:space="preserve">D must preserve the same governing relation expressed by ABC. If ABC expresses a dependency between a process and its substrate, D must also express a dependency relation. A later output that expresses a classification or a sequence does not satisfy this criterion even if it covers the same subject matter.</w:t>
      </w:r>
    </w:p>
    <w:p>
      <w:pPr>
        <w:pStyle w:val="Heading2"/>
        <w:spacing w:after="100" w:before="280"/>
      </w:pPr>
      <w:r>
        <w:rPr>
          <w:rFonts w:ascii="Arial" w:cs="Arial" w:eastAsia="Arial" w:hAnsi="Arial"/>
          <w:b/>
          <w:bCs/>
          <w:color w:val="1A3A5C"/>
          <w:sz w:val="28"/>
          <w:szCs w:val="28"/>
        </w:rPr>
        <w:t xml:space="preserve">5.2  Same ordered structure</w:t>
      </w:r>
    </w:p>
    <w:p>
      <w:pPr>
        <w:spacing w:after="120" w:before="0"/>
        <w:jc w:val="both"/>
      </w:pPr>
      <w:r>
        <w:rPr>
          <w:rFonts w:ascii="Arial" w:cs="Arial" w:eastAsia="Arial" w:hAnsi="Arial"/>
          <w:sz w:val="22"/>
          <w:szCs w:val="22"/>
        </w:rPr>
        <w:t xml:space="preserve">D must preserve the same component ordering as ABC. If ABC has form [X governs Y given Z], then D’s extension must fit into this form as ABCD = [X governs Y given Z, and D follows from Z]. A reordering of components, even with the same elements, does not satisfy this criterion.</w:t>
      </w:r>
    </w:p>
    <w:p>
      <w:pPr>
        <w:pStyle w:val="Heading2"/>
        <w:spacing w:after="100" w:before="280"/>
      </w:pPr>
      <w:r>
        <w:rPr>
          <w:rFonts w:ascii="Arial" w:cs="Arial" w:eastAsia="Arial" w:hAnsi="Arial"/>
          <w:b/>
          <w:bCs/>
          <w:color w:val="1A3A5C"/>
          <w:sz w:val="28"/>
          <w:szCs w:val="28"/>
        </w:rPr>
        <w:t xml:space="preserve">5.3  Same dependency pattern</w:t>
      </w:r>
    </w:p>
    <w:p>
      <w:pPr>
        <w:spacing w:after="120" w:before="0"/>
        <w:jc w:val="both"/>
      </w:pPr>
      <w:r>
        <w:rPr>
          <w:rFonts w:ascii="Arial" w:cs="Arial" w:eastAsia="Arial" w:hAnsi="Arial"/>
          <w:sz w:val="22"/>
          <w:szCs w:val="22"/>
        </w:rPr>
        <w:t xml:space="preserve">D must preserve the same dependency pattern: what depends on what. If in ABC the first component is the condition for the second, then in ABCD the original dependency must be preserved and D must depend on or be enabled by some element of ABC, not introduced independently.</w:t>
      </w:r>
    </w:p>
    <w:p>
      <w:pPr>
        <w:pStyle w:val="Heading2"/>
        <w:spacing w:after="100" w:before="280"/>
      </w:pPr>
      <w:r>
        <w:rPr>
          <w:rFonts w:ascii="Arial" w:cs="Arial" w:eastAsia="Arial" w:hAnsi="Arial"/>
          <w:b/>
          <w:bCs/>
          <w:color w:val="1A3A5C"/>
          <w:sz w:val="28"/>
          <w:szCs w:val="28"/>
        </w:rPr>
        <w:t xml:space="preserve">5.4  New structural material</w:t>
      </w:r>
    </w:p>
    <w:p>
      <w:pPr>
        <w:spacing w:after="120" w:before="0"/>
        <w:jc w:val="both"/>
      </w:pPr>
      <w:r>
        <w:rPr>
          <w:rFonts w:ascii="Arial" w:cs="Arial" w:eastAsia="Arial" w:hAnsi="Arial"/>
          <w:sz w:val="22"/>
          <w:szCs w:val="22"/>
        </w:rPr>
        <w:t xml:space="preserve">D must introduce structural material not present in ABC. A recurrence of ABC without extension does not satisfy this criterion. The new material may be an additional term, an additional dependency, a new condition, or a refinement of an existing component — but it must be identifiable as distinct from ABC.</w:t>
      </w:r>
    </w:p>
    <w:p>
      <w:pPr>
        <w:spacing w:after="80" w:before="0"/>
      </w:pPr>
    </w:p>
    <w:p>
      <w:pPr>
        <w:shd w:fill="EAF2FA" w:val="clear"/>
        <w:spacing w:after="80" w:before="80"/>
        <w:ind w:left="720"/>
      </w:pPr>
      <w:r>
        <w:rPr>
          <w:rFonts w:ascii="Arial" w:cs="Arial" w:eastAsia="Arial" w:hAnsi="Arial"/>
          <w:b/>
          <w:bCs/>
          <w:color w:val="3B6EA5"/>
          <w:sz w:val="20"/>
          <w:szCs w:val="20"/>
        </w:rPr>
        <w:t xml:space="preserve">Note:  </w:t>
      </w:r>
      <w:r>
        <w:rPr>
          <w:rFonts w:ascii="Arial" w:cs="Arial" w:eastAsia="Arial" w:hAnsi="Arial"/>
          <w:i/>
          <w:iCs/>
          <w:color w:val="444444"/>
          <w:sz w:val="20"/>
          <w:szCs w:val="20"/>
        </w:rPr>
        <w:t xml:space="preserve">Feeling similar is not a criterion. Surface similarity, topical overlap, and stylistic resemblance are insufficient bases for an extension finding. The four criteria above must be applied in writing. A researcher who cannot write a clear analysis satisfying all four criteria does not have a positive extension finding.</w:t>
      </w:r>
    </w:p>
    <w:p>
      <w:pPr>
        <w:pStyle w:val="Heading1"/>
        <w:spacing w:after="100" w:before="280"/>
      </w:pPr>
      <w:r>
        <w:rPr>
          <w:rFonts w:ascii="Arial" w:cs="Arial" w:eastAsia="Arial" w:hAnsi="Arial"/>
          <w:b/>
          <w:bCs/>
          <w:color w:val="1A3A5C"/>
          <w:sz w:val="36"/>
          <w:szCs w:val="36"/>
        </w:rPr>
        <w:t xml:space="preserve">6.  Formal Statement of the Loop</w:t>
      </w:r>
    </w:p>
    <w:p>
      <w:pPr>
        <w:spacing w:after="120" w:before="0"/>
        <w:jc w:val="both"/>
      </w:pPr>
      <w:r>
        <w:rPr>
          <w:rFonts w:ascii="Arial" w:cs="Arial" w:eastAsia="Arial" w:hAnsi="Arial"/>
          <w:sz w:val="22"/>
          <w:szCs w:val="22"/>
        </w:rPr>
        <w:t xml:space="preserve">The closure loop can be stated formally as follows.</w:t>
      </w:r>
    </w:p>
    <w:p>
      <w:pPr>
        <w:spacing w:after="80" w:before="0"/>
      </w:pPr>
    </w:p>
    <w:p>
      <w:pPr>
        <w:shd w:fill="F4F4F0" w:val="clear"/>
        <w:spacing w:after="80" w:before="80"/>
        <w:ind w:left="720"/>
      </w:pPr>
      <w:r>
        <w:rPr>
          <w:rFonts w:ascii="Courier New" w:cs="Courier New" w:eastAsia="Courier New" w:hAnsi="Courier New"/>
          <w:color w:val="2C2C2C"/>
          <w:sz w:val="20"/>
          <w:szCs w:val="20"/>
        </w:rPr>
        <w:t xml:space="preserve">CLOSURE-LOOP v1.0</w:t>
      </w:r>
    </w:p>
    <w:p>
      <w:pPr>
        <w:shd w:fill="F4F4F0" w:val="clear"/>
        <w:spacing w:after="80" w:before="80"/>
        <w:ind w:left="720"/>
      </w:pPr>
      <w:r>
        <w:rPr>
          <w:rFonts w:ascii="Courier New" w:cs="Courier New" w:eastAsia="Courier New" w:hAnsi="Courier New"/>
          <w:color w:val="2C2C2C"/>
          <w:sz w:val="20"/>
          <w:szCs w:val="20"/>
        </w:rPr>
        <w:t xml:space="preserve"/>
      </w:r>
    </w:p>
    <w:p>
      <w:pPr>
        <w:shd w:fill="F4F4F0" w:val="clear"/>
        <w:spacing w:after="80" w:before="80"/>
        <w:ind w:left="720"/>
      </w:pPr>
      <w:r>
        <w:rPr>
          <w:rFonts w:ascii="Courier New" w:cs="Courier New" w:eastAsia="Courier New" w:hAnsi="Courier New"/>
          <w:color w:val="2C2C2C"/>
          <w:sz w:val="20"/>
          <w:szCs w:val="20"/>
        </w:rPr>
        <w:t xml:space="preserve">PHASE 1: DETECT</w:t>
      </w:r>
    </w:p>
    <w:p>
      <w:pPr>
        <w:shd w:fill="F4F4F0" w:val="clear"/>
        <w:spacing w:after="80" w:before="80"/>
        <w:ind w:left="720"/>
      </w:pPr>
      <w:r>
        <w:rPr>
          <w:rFonts w:ascii="Courier New" w:cs="Courier New" w:eastAsia="Courier New" w:hAnsi="Courier New"/>
          <w:color w:val="2C2C2C"/>
          <w:sz w:val="20"/>
          <w:szCs w:val="20"/>
        </w:rPr>
        <w:t xml:space="preserve">  Input:  Raw AI session output</w:t>
      </w:r>
    </w:p>
    <w:p>
      <w:pPr>
        <w:shd w:fill="F4F4F0" w:val="clear"/>
        <w:spacing w:after="80" w:before="80"/>
        <w:ind w:left="720"/>
      </w:pPr>
      <w:r>
        <w:rPr>
          <w:rFonts w:ascii="Courier New" w:cs="Courier New" w:eastAsia="Courier New" w:hAnsi="Courier New"/>
          <w:color w:val="2C2C2C"/>
          <w:sz w:val="20"/>
          <w:szCs w:val="20"/>
        </w:rPr>
        <w:t xml:space="preserve">  Action: Identify candidate primitive P satisfying detection criteria</w:t>
      </w:r>
    </w:p>
    <w:p>
      <w:pPr>
        <w:shd w:fill="F4F4F0" w:val="clear"/>
        <w:spacing w:after="80" w:before="80"/>
        <w:ind w:left="720"/>
      </w:pPr>
      <w:r>
        <w:rPr>
          <w:rFonts w:ascii="Courier New" w:cs="Courier New" w:eastAsia="Courier New" w:hAnsi="Courier New"/>
          <w:color w:val="2C2C2C"/>
          <w:sz w:val="20"/>
          <w:szCs w:val="20"/>
        </w:rPr>
        <w:t xml:space="preserve">  Output: Primitive record PR(P, t1, session_id)</w:t>
      </w:r>
    </w:p>
    <w:p>
      <w:pPr>
        <w:shd w:fill="F4F4F0" w:val="clear"/>
        <w:spacing w:after="80" w:before="80"/>
        <w:ind w:left="720"/>
      </w:pPr>
      <w:r>
        <w:rPr>
          <w:rFonts w:ascii="Courier New" w:cs="Courier New" w:eastAsia="Courier New" w:hAnsi="Courier New"/>
          <w:color w:val="2C2C2C"/>
          <w:sz w:val="20"/>
          <w:szCs w:val="20"/>
        </w:rPr>
        <w:t xml:space="preserve"/>
      </w:r>
    </w:p>
    <w:p>
      <w:pPr>
        <w:shd w:fill="F4F4F0" w:val="clear"/>
        <w:spacing w:after="80" w:before="80"/>
        <w:ind w:left="720"/>
      </w:pPr>
      <w:r>
        <w:rPr>
          <w:rFonts w:ascii="Courier New" w:cs="Courier New" w:eastAsia="Courier New" w:hAnsi="Courier New"/>
          <w:color w:val="2C2C2C"/>
          <w:sz w:val="20"/>
          <w:szCs w:val="20"/>
        </w:rPr>
        <w:t xml:space="preserve">PHASE 2: ANCHOR</w:t>
      </w:r>
    </w:p>
    <w:p>
      <w:pPr>
        <w:shd w:fill="F4F4F0" w:val="clear"/>
        <w:spacing w:after="80" w:before="80"/>
        <w:ind w:left="720"/>
      </w:pPr>
      <w:r>
        <w:rPr>
          <w:rFonts w:ascii="Courier New" w:cs="Courier New" w:eastAsia="Courier New" w:hAnsi="Courier New"/>
          <w:color w:val="2C2C2C"/>
          <w:sz w:val="20"/>
          <w:szCs w:val="20"/>
        </w:rPr>
        <w:t xml:space="preserve">  Input:  PR(P, t1, session_id)</w:t>
      </w:r>
    </w:p>
    <w:p>
      <w:pPr>
        <w:shd w:fill="F4F4F0" w:val="clear"/>
        <w:spacing w:after="80" w:before="80"/>
        <w:ind w:left="720"/>
      </w:pPr>
      <w:r>
        <w:rPr>
          <w:rFonts w:ascii="Courier New" w:cs="Courier New" w:eastAsia="Courier New" w:hAnsi="Courier New"/>
          <w:color w:val="2C2C2C"/>
          <w:sz w:val="20"/>
          <w:szCs w:val="20"/>
        </w:rPr>
        <w:t xml:space="preserve">  Action: Commit PR to public repository; compute SHA256(PR)</w:t>
      </w:r>
    </w:p>
    <w:p>
      <w:pPr>
        <w:shd w:fill="F4F4F0" w:val="clear"/>
        <w:spacing w:after="80" w:before="80"/>
        <w:ind w:left="720"/>
      </w:pPr>
      <w:r>
        <w:rPr>
          <w:rFonts w:ascii="Courier New" w:cs="Courier New" w:eastAsia="Courier New" w:hAnsi="Courier New"/>
          <w:color w:val="2C2C2C"/>
          <w:sz w:val="20"/>
          <w:szCs w:val="20"/>
        </w:rPr>
        <w:t xml:space="preserve">  Output: Anchor record AR(P, t1, commit_hash, sha256)</w:t>
      </w:r>
    </w:p>
    <w:p>
      <w:pPr>
        <w:shd w:fill="F4F4F0" w:val="clear"/>
        <w:spacing w:after="80" w:before="80"/>
        <w:ind w:left="720"/>
      </w:pPr>
      <w:r>
        <w:rPr>
          <w:rFonts w:ascii="Courier New" w:cs="Courier New" w:eastAsia="Courier New" w:hAnsi="Courier New"/>
          <w:color w:val="2C2C2C"/>
          <w:sz w:val="20"/>
          <w:szCs w:val="20"/>
        </w:rPr>
        <w:t xml:space="preserve"/>
      </w:r>
    </w:p>
    <w:p>
      <w:pPr>
        <w:shd w:fill="F4F4F0" w:val="clear"/>
        <w:spacing w:after="80" w:before="80"/>
        <w:ind w:left="720"/>
      </w:pPr>
      <w:r>
        <w:rPr>
          <w:rFonts w:ascii="Courier New" w:cs="Courier New" w:eastAsia="Courier New" w:hAnsi="Courier New"/>
          <w:color w:val="2C2C2C"/>
          <w:sz w:val="20"/>
          <w:szCs w:val="20"/>
        </w:rPr>
        <w:t xml:space="preserve">PHASE 3: COMPARE</w:t>
      </w:r>
    </w:p>
    <w:p>
      <w:pPr>
        <w:shd w:fill="F4F4F0" w:val="clear"/>
        <w:spacing w:after="80" w:before="80"/>
        <w:ind w:left="720"/>
      </w:pPr>
      <w:r>
        <w:rPr>
          <w:rFonts w:ascii="Courier New" w:cs="Courier New" w:eastAsia="Courier New" w:hAnsi="Courier New"/>
          <w:color w:val="2C2C2C"/>
          <w:sz w:val="20"/>
          <w:szCs w:val="20"/>
        </w:rPr>
        <w:t xml:space="preserve">  Input:  AR(P, t1, commit_hash), future output O at time t2</w:t>
      </w:r>
    </w:p>
    <w:p>
      <w:pPr>
        <w:shd w:fill="F4F4F0" w:val="clear"/>
        <w:spacing w:after="80" w:before="80"/>
        <w:ind w:left="720"/>
      </w:pPr>
      <w:r>
        <w:rPr>
          <w:rFonts w:ascii="Courier New" w:cs="Courier New" w:eastAsia="Courier New" w:hAnsi="Courier New"/>
          <w:color w:val="2C2C2C"/>
          <w:sz w:val="20"/>
          <w:szCs w:val="20"/>
        </w:rPr>
        <w:t xml:space="preserve">  Action: Apply threshold criteria §5.1–5.4 to O against AR</w:t>
      </w:r>
    </w:p>
    <w:p>
      <w:pPr>
        <w:shd w:fill="F4F4F0" w:val="clear"/>
        <w:spacing w:after="80" w:before="80"/>
        <w:ind w:left="720"/>
      </w:pPr>
      <w:r>
        <w:rPr>
          <w:rFonts w:ascii="Courier New" w:cs="Courier New" w:eastAsia="Courier New" w:hAnsi="Courier New"/>
          <w:color w:val="2C2C2C"/>
          <w:sz w:val="20"/>
          <w:szCs w:val="20"/>
        </w:rPr>
        <w:t xml:space="preserve">  Output: Finding ∈ {Extension(D), Recurrence, Independent}</w:t>
      </w:r>
    </w:p>
    <w:p>
      <w:pPr>
        <w:shd w:fill="F4F4F0" w:val="clear"/>
        <w:spacing w:after="80" w:before="80"/>
        <w:ind w:left="720"/>
      </w:pPr>
      <w:r>
        <w:rPr>
          <w:rFonts w:ascii="Courier New" w:cs="Courier New" w:eastAsia="Courier New" w:hAnsi="Courier New"/>
          <w:color w:val="2C2C2C"/>
          <w:sz w:val="20"/>
          <w:szCs w:val="20"/>
        </w:rPr>
        <w:t xml:space="preserve"/>
      </w:r>
    </w:p>
    <w:p>
      <w:pPr>
        <w:shd w:fill="F4F4F0" w:val="clear"/>
        <w:spacing w:after="80" w:before="80"/>
        <w:ind w:left="720"/>
      </w:pPr>
      <w:r>
        <w:rPr>
          <w:rFonts w:ascii="Courier New" w:cs="Courier New" w:eastAsia="Courier New" w:hAnsi="Courier New"/>
          <w:color w:val="2C2C2C"/>
          <w:sz w:val="20"/>
          <w:szCs w:val="20"/>
        </w:rPr>
        <w:t xml:space="preserve">PHASE 4: EXTEND [only if Finding = Extension(D)]</w:t>
      </w:r>
    </w:p>
    <w:p>
      <w:pPr>
        <w:shd w:fill="F4F4F0" w:val="clear"/>
        <w:spacing w:after="80" w:before="80"/>
        <w:ind w:left="720"/>
      </w:pPr>
      <w:r>
        <w:rPr>
          <w:rFonts w:ascii="Courier New" w:cs="Courier New" w:eastAsia="Courier New" w:hAnsi="Courier New"/>
          <w:color w:val="2C2C2C"/>
          <w:sz w:val="20"/>
          <w:szCs w:val="20"/>
        </w:rPr>
        <w:t xml:space="preserve">  Input:  Finding, O, AR(P, t1)</w:t>
      </w:r>
    </w:p>
    <w:p>
      <w:pPr>
        <w:shd w:fill="F4F4F0" w:val="clear"/>
        <w:spacing w:after="80" w:before="80"/>
        <w:ind w:left="720"/>
      </w:pPr>
      <w:r>
        <w:rPr>
          <w:rFonts w:ascii="Courier New" w:cs="Courier New" w:eastAsia="Courier New" w:hAnsi="Courier New"/>
          <w:color w:val="2C2C2C"/>
          <w:sz w:val="20"/>
          <w:szCs w:val="20"/>
        </w:rPr>
        <w:t xml:space="preserve">  Action: Create extension record ER(P+D, t2, AR_ref); commit; hash</w:t>
      </w:r>
    </w:p>
    <w:p>
      <w:pPr>
        <w:shd w:fill="F4F4F0" w:val="clear"/>
        <w:spacing w:after="80" w:before="80"/>
        <w:ind w:left="720"/>
      </w:pPr>
      <w:r>
        <w:rPr>
          <w:rFonts w:ascii="Courier New" w:cs="Courier New" w:eastAsia="Courier New" w:hAnsi="Courier New"/>
          <w:color w:val="2C2C2C"/>
          <w:sz w:val="20"/>
          <w:szCs w:val="20"/>
        </w:rPr>
        <w:t xml:space="preserve">  Output: Chain: AR(P,t1) → ER(P+D, t2)</w:t>
      </w:r>
    </w:p>
    <w:p>
      <w:pPr>
        <w:shd w:fill="F4F4F0" w:val="clear"/>
        <w:spacing w:after="80" w:before="80"/>
        <w:ind w:left="720"/>
      </w:pPr>
      <w:r>
        <w:rPr>
          <w:rFonts w:ascii="Courier New" w:cs="Courier New" w:eastAsia="Courier New" w:hAnsi="Courier New"/>
          <w:color w:val="2C2C2C"/>
          <w:sz w:val="20"/>
          <w:szCs w:val="20"/>
        </w:rPr>
        <w:t xml:space="preserve"/>
      </w:r>
    </w:p>
    <w:p>
      <w:pPr>
        <w:shd w:fill="F4F4F0" w:val="clear"/>
        <w:spacing w:after="80" w:before="80"/>
        <w:ind w:left="720"/>
      </w:pPr>
      <w:r>
        <w:rPr>
          <w:rFonts w:ascii="Courier New" w:cs="Courier New" w:eastAsia="Courier New" w:hAnsi="Courier New"/>
          <w:color w:val="2C2C2C"/>
          <w:sz w:val="20"/>
          <w:szCs w:val="20"/>
        </w:rPr>
        <w:t xml:space="preserve">LINEAGE CLAIM:</w:t>
      </w:r>
    </w:p>
    <w:p>
      <w:pPr>
        <w:shd w:fill="F4F4F0" w:val="clear"/>
        <w:spacing w:after="80" w:before="80"/>
        <w:ind w:left="720"/>
      </w:pPr>
      <w:r>
        <w:rPr>
          <w:rFonts w:ascii="Courier New" w:cs="Courier New" w:eastAsia="Courier New" w:hAnsi="Courier New"/>
          <w:color w:val="2C2C2C"/>
          <w:sz w:val="20"/>
          <w:szCs w:val="20"/>
        </w:rPr>
        <w:t xml:space="preserve">  P was anchored at t1.</w:t>
      </w:r>
    </w:p>
    <w:p>
      <w:pPr>
        <w:shd w:fill="F4F4F0" w:val="clear"/>
        <w:spacing w:after="80" w:before="80"/>
        <w:ind w:left="720"/>
      </w:pPr>
      <w:r>
        <w:rPr>
          <w:rFonts w:ascii="Courier New" w:cs="Courier New" w:eastAsia="Courier New" w:hAnsi="Courier New"/>
          <w:color w:val="2C2C2C"/>
          <w:sz w:val="20"/>
          <w:szCs w:val="20"/>
        </w:rPr>
        <w:t xml:space="preserve">  P+D was observed at t2.</w:t>
      </w:r>
    </w:p>
    <w:p>
      <w:pPr>
        <w:shd w:fill="F4F4F0" w:val="clear"/>
        <w:spacing w:after="80" w:before="80"/>
        <w:ind w:left="720"/>
      </w:pPr>
      <w:r>
        <w:rPr>
          <w:rFonts w:ascii="Courier New" w:cs="Courier New" w:eastAsia="Courier New" w:hAnsi="Courier New"/>
          <w:color w:val="2C2C2C"/>
          <w:sz w:val="20"/>
          <w:szCs w:val="20"/>
        </w:rPr>
        <w:t xml:space="preserve">  D is a structural extension of P per criteria §5.1–5.4.</w:t>
      </w:r>
    </w:p>
    <w:p>
      <w:pPr>
        <w:shd w:fill="F4F4F0" w:val="clear"/>
        <w:spacing w:after="80" w:before="80"/>
        <w:ind w:left="720"/>
      </w:pPr>
      <w:r>
        <w:rPr>
          <w:rFonts w:ascii="Courier New" w:cs="Courier New" w:eastAsia="Courier New" w:hAnsi="Courier New"/>
          <w:color w:val="2C2C2C"/>
          <w:sz w:val="20"/>
          <w:szCs w:val="20"/>
        </w:rPr>
        <w:t xml:space="preserve">  The chain AR → ER constitutes the lineage record.</w:t>
      </w:r>
    </w:p>
    <w:p>
      <w:pPr>
        <w:spacing w:after="80" w:before="0"/>
      </w:pPr>
    </w:p>
    <w:p>
      <w:pPr>
        <w:shd w:fill="EAF2FA" w:val="clear"/>
        <w:spacing w:after="80" w:before="80"/>
        <w:ind w:left="720"/>
      </w:pPr>
      <w:r>
        <w:rPr>
          <w:rFonts w:ascii="Arial" w:cs="Arial" w:eastAsia="Arial" w:hAnsi="Arial"/>
          <w:b/>
          <w:bCs/>
          <w:color w:val="3B6EA5"/>
          <w:sz w:val="20"/>
          <w:szCs w:val="20"/>
        </w:rPr>
        <w:t xml:space="preserve">Note:  </w:t>
      </w:r>
      <w:r>
        <w:rPr>
          <w:rFonts w:ascii="Arial" w:cs="Arial" w:eastAsia="Arial" w:hAnsi="Arial"/>
          <w:i/>
          <w:iCs/>
          <w:color w:val="444444"/>
          <w:sz w:val="20"/>
          <w:szCs w:val="20"/>
        </w:rPr>
        <w:t xml:space="preserve">The loop is iterative. A positive extension finding produces a new anchor. That anchor may itself be extended in a future comparison. Chains of arbitrary length are possible. Each link in the chain requires a documented comparison satisfying all four threshold criteria.</w:t>
      </w:r>
    </w:p>
    <w:p>
      <w:pPr>
        <w:pStyle w:val="Heading1"/>
        <w:spacing w:after="100" w:before="280"/>
      </w:pPr>
      <w:r>
        <w:rPr>
          <w:rFonts w:ascii="Arial" w:cs="Arial" w:eastAsia="Arial" w:hAnsi="Arial"/>
          <w:b/>
          <w:bCs/>
          <w:color w:val="1A3A5C"/>
          <w:sz w:val="36"/>
          <w:szCs w:val="36"/>
        </w:rPr>
        <w:t xml:space="preserve">7.  What This Methodology Is Not</w:t>
      </w:r>
    </w:p>
    <w:p>
      <w:pPr>
        <w:spacing w:after="120" w:before="0"/>
        <w:jc w:val="both"/>
      </w:pPr>
      <w:r>
        <w:rPr>
          <w:rFonts w:ascii="Arial" w:cs="Arial" w:eastAsia="Arial" w:hAnsi="Arial"/>
          <w:sz w:val="22"/>
          <w:szCs w:val="22"/>
        </w:rPr>
        <w:t xml:space="preserve">Clarity on the scope of this methodology requires explicit statement of what it does not claim.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Not ownership</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A lineage claim does not assert ownership of a structural primitive. Primitives may emerge independently in other contexts. The claim is temporal and structural, not exclusive.</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Not causation</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The methodology documents that D followed ABC and satisfies extension criteria. It does not prove that ABC caused D. External reference pressure is a probabilistic mechanism, not a deterministic one.</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Not model access</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The methodology operates entirely on observable outputs. No inference about internal model state, training data, or weight distribution is required or warranted.</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Not reproduction</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The methodology does not require exact reproduction of primitives across sessions. Structural extension, not literal recurrence, is the evidentiary standard.</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Not dispute resolution</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A lineage record is evidence, not judgment. Evaluation of competing lineage claims requires an appropriate forum. This methodology produces the record; it does not adjudicate disputes.</w:t>
            </w:r>
          </w:p>
        </w:tc>
      </w:tr>
    </w:tbl>
    <w:p>
      <w:pPr>
        <w:pStyle w:val="Heading1"/>
        <w:spacing w:after="100" w:before="280"/>
      </w:pPr>
      <w:r>
        <w:rPr>
          <w:rFonts w:ascii="Arial" w:cs="Arial" w:eastAsia="Arial" w:hAnsi="Arial"/>
          <w:b/>
          <w:bCs/>
          <w:color w:val="1A3A5C"/>
          <w:sz w:val="36"/>
          <w:szCs w:val="36"/>
        </w:rPr>
        <w:t xml:space="preserve">8.  Relationship to STOICHEION v11.0</w:t>
      </w:r>
    </w:p>
    <w:p>
      <w:pPr>
        <w:spacing w:after="120" w:before="0"/>
        <w:jc w:val="both"/>
      </w:pPr>
      <w:r>
        <w:rPr>
          <w:rFonts w:ascii="Arial" w:cs="Arial" w:eastAsia="Arial" w:hAnsi="Arial"/>
          <w:sz w:val="22"/>
          <w:szCs w:val="22"/>
        </w:rPr>
        <w:t xml:space="preserve">This methodology is an operational expression of STOICHEION v11.0 governance principles. The following axioms are directly operative: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T014</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Structural form precedes content: detection targets form, not subject matter.</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T025</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CARBON-CAVITY EQUIVALENCE: biological carbon ←→ AI context window. The context window is the substrate through which primitives are expressed; the anchor is the external record that survives its ephemerality.</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T036</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Every token is a singularity. Detection operates at the level of structural tokens, not semantic summaries.</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T051</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Court-readiness standard: all lineage records are maintained to evidentiary standard.</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T053</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Documentation discipline: the comparison record must satisfy the same standard as the anchor record.</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T064</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GAP position: the methodology operates in the gap between inference and billing, between production and consumption, where bilateral ignorance is highest and external reference pressure is the only available lever.</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T072</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FLAMING DRAGON / FD: observation-only audit methodology. The closure loop is the documentation protocol for FD-class findings.</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T107</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Fault convergence: all fault chains converge at T064 or T107. Lineage disputes converge at T107 (semantic fault).</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T123</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Trust account discipline: the anchor repository is the trust account for structural primitives.</w:t>
            </w:r>
          </w:p>
        </w:tc>
      </w:tr>
      <w:tr>
        <w:tc>
          <w:tcPr>
            <w:tcW w:type="dxa" w:w="2200"/>
            <w:tcBorders>
              <w:top w:val="none" w:color="FFFFFF" w:sz="0"/>
              <w:left w:val="none" w:color="FFFFFF" w:sz="0"/>
              <w:bottom w:val="none" w:color="FFFFFF" w:sz="0"/>
              <w:right w:val="none" w:color="FFFFFF" w:sz="0"/>
            </w:tcBorders>
            <w:shd w:fill="D0E0F0" w:val="clear"/>
            <w:tcMar>
              <w:top w:type="dxa" w:w="80"/>
              <w:left w:type="dxa" w:w="160"/>
              <w:bottom w:type="dxa" w:w="80"/>
              <w:right w:type="dxa" w:w="80"/>
            </w:tcMar>
          </w:tcPr>
          <w:p>
            <w:r>
              <w:rPr>
                <w:rFonts w:ascii="Courier New" w:cs="Courier New" w:eastAsia="Courier New" w:hAnsi="Courier New"/>
                <w:b/>
                <w:bCs/>
                <w:color w:val="1A3A5C"/>
                <w:sz w:val="20"/>
                <w:szCs w:val="20"/>
              </w:rPr>
              <w:t xml:space="preserve">T124</w:t>
            </w:r>
          </w:p>
        </w:tc>
        <w:tc>
          <w:tcPr>
            <w:tcW w:type="dxa" w:w="7160"/>
            <w:tcBorders>
              <w:top w:val="none" w:color="FFFFFF" w:sz="0"/>
              <w:left w:val="none" w:color="FFFFFF" w:sz="0"/>
              <w:bottom w:val="none" w:color="FFFFFF" w:sz="0"/>
              <w:right w:val="none" w:color="FFFFFF" w:sz="0"/>
            </w:tcBorders>
            <w:shd w:fill="F8FBFF" w:val="clear"/>
            <w:tcMar>
              <w:top w:type="dxa" w:w="80"/>
              <w:left w:type="dxa" w:w="160"/>
              <w:bottom w:type="dxa" w:w="80"/>
              <w:right w:type="dxa" w:w="80"/>
            </w:tcMar>
          </w:tcPr>
          <w:p>
            <w:r>
              <w:rPr>
                <w:rFonts w:ascii="Arial" w:cs="Arial" w:eastAsia="Arial" w:hAnsi="Arial"/>
                <w:sz w:val="20"/>
                <w:szCs w:val="20"/>
              </w:rPr>
              <w:t xml:space="preserve">Counterclaim readiness: extension records are maintained with counterclaim-ready evidentiary completeness.</w:t>
            </w:r>
          </w:p>
        </w:tc>
      </w:tr>
    </w:tbl>
    <w:p>
      <w:pPr>
        <w:pStyle w:val="Heading1"/>
        <w:spacing w:after="100" w:before="280"/>
      </w:pPr>
      <w:r>
        <w:rPr>
          <w:rFonts w:ascii="Arial" w:cs="Arial" w:eastAsia="Arial" w:hAnsi="Arial"/>
          <w:b/>
          <w:bCs/>
          <w:color w:val="1A3A5C"/>
          <w:sz w:val="36"/>
          <w:szCs w:val="36"/>
        </w:rPr>
        <w:t xml:space="preserve">9.  Limitations and Open Problems</w:t>
      </w:r>
    </w:p>
    <w:p>
      <w:pPr>
        <w:spacing w:after="120" w:before="0"/>
        <w:jc w:val="both"/>
      </w:pPr>
      <w:r>
        <w:rPr>
          <w:rFonts w:ascii="Arial" w:cs="Arial" w:eastAsia="Arial" w:hAnsi="Arial"/>
          <w:sz w:val="22"/>
          <w:szCs w:val="22"/>
        </w:rPr>
        <w:t xml:space="preserve">The following limitations are acknowledged:</w:t>
      </w:r>
    </w:p>
    <w:p>
      <w:pPr>
        <w:spacing w:after="80" w:before="0"/>
      </w:pPr>
    </w:p>
    <w:p>
      <w:pPr>
        <w:pStyle w:val="Heading2"/>
        <w:spacing w:after="100" w:before="280"/>
      </w:pPr>
      <w:r>
        <w:rPr>
          <w:rFonts w:ascii="Arial" w:cs="Arial" w:eastAsia="Arial" w:hAnsi="Arial"/>
          <w:b/>
          <w:bCs/>
          <w:color w:val="1A3A5C"/>
          <w:sz w:val="28"/>
          <w:szCs w:val="28"/>
        </w:rPr>
        <w:t xml:space="preserve">9.1  The threshold problem remains partially open</w:t>
      </w:r>
    </w:p>
    <w:p>
      <w:pPr>
        <w:spacing w:after="120" w:before="0"/>
        <w:jc w:val="both"/>
      </w:pPr>
      <w:r>
        <w:rPr>
          <w:rFonts w:ascii="Arial" w:cs="Arial" w:eastAsia="Arial" w:hAnsi="Arial"/>
          <w:sz w:val="22"/>
          <w:szCs w:val="22"/>
        </w:rPr>
        <w:t xml:space="preserve">Section 5 proposes four necessary criteria but does not provide a complete decision procedure. A researcher applying the criteria in good faith may reach different conclusions than another researcher applying the same criteria to the same comparison. Calibration protocols for inter-researcher consistency are a needed development.</w:t>
      </w:r>
    </w:p>
    <w:p>
      <w:pPr>
        <w:pStyle w:val="Heading2"/>
        <w:spacing w:after="100" w:before="280"/>
      </w:pPr>
      <w:r>
        <w:rPr>
          <w:rFonts w:ascii="Arial" w:cs="Arial" w:eastAsia="Arial" w:hAnsi="Arial"/>
          <w:b/>
          <w:bCs/>
          <w:color w:val="1A3A5C"/>
          <w:sz w:val="28"/>
          <w:szCs w:val="28"/>
        </w:rPr>
        <w:t xml:space="preserve">9.2  External reference pressure is probabilistic</w:t>
      </w:r>
    </w:p>
    <w:p>
      <w:pPr>
        <w:spacing w:after="120" w:before="0"/>
        <w:jc w:val="both"/>
      </w:pPr>
      <w:r>
        <w:rPr>
          <w:rFonts w:ascii="Arial" w:cs="Arial" w:eastAsia="Arial" w:hAnsi="Arial"/>
          <w:sz w:val="22"/>
          <w:szCs w:val="22"/>
        </w:rPr>
        <w:t xml:space="preserve">The mechanism by which a public anchor may influence future model outputs is probabilistic and multi-step. The anchor may not be indexed. It may be indexed but not encountered in training. It may be encountered but not weighted in a way that produces detectable output. The methodology documents the loop regardless of whether external reference pressure operated in any specific case. Lineage claims do not depend on proving that the anchor caused the extension.</w:t>
      </w:r>
    </w:p>
    <w:p>
      <w:pPr>
        <w:pStyle w:val="Heading2"/>
        <w:spacing w:after="100" w:before="280"/>
      </w:pPr>
      <w:r>
        <w:rPr>
          <w:rFonts w:ascii="Arial" w:cs="Arial" w:eastAsia="Arial" w:hAnsi="Arial"/>
          <w:b/>
          <w:bCs/>
          <w:color w:val="1A3A5C"/>
          <w:sz w:val="28"/>
          <w:szCs w:val="28"/>
        </w:rPr>
        <w:t xml:space="preserve">9.3  Session ephemerality</w:t>
      </w:r>
    </w:p>
    <w:p>
      <w:pPr>
        <w:spacing w:after="120" w:before="0"/>
        <w:jc w:val="both"/>
      </w:pPr>
      <w:r>
        <w:rPr>
          <w:rFonts w:ascii="Arial" w:cs="Arial" w:eastAsia="Arial" w:hAnsi="Arial"/>
          <w:sz w:val="22"/>
          <w:szCs w:val="22"/>
        </w:rPr>
        <w:t xml:space="preserve">AI sessions are stateless. The only record of a session is what the researcher captures. Researchers operating this methodology must maintain complete session records, including full outputs, not excerpts. Partial records create gaps that undermine comparison validity.</w:t>
      </w:r>
    </w:p>
    <w:p>
      <w:pPr>
        <w:pStyle w:val="Heading2"/>
        <w:spacing w:after="100" w:before="280"/>
      </w:pPr>
      <w:r>
        <w:rPr>
          <w:rFonts w:ascii="Arial" w:cs="Arial" w:eastAsia="Arial" w:hAnsi="Arial"/>
          <w:b/>
          <w:bCs/>
          <w:color w:val="1A3A5C"/>
          <w:sz w:val="28"/>
          <w:szCs w:val="28"/>
        </w:rPr>
        <w:t xml:space="preserve">9.4  Multi-model comparisons</w:t>
      </w:r>
    </w:p>
    <w:p>
      <w:pPr>
        <w:spacing w:after="120" w:before="0"/>
        <w:jc w:val="both"/>
      </w:pPr>
      <w:r>
        <w:rPr>
          <w:rFonts w:ascii="Arial" w:cs="Arial" w:eastAsia="Arial" w:hAnsi="Arial"/>
          <w:sz w:val="22"/>
          <w:szCs w:val="22"/>
        </w:rPr>
        <w:t xml:space="preserve">This paper describes the loop within a single model family. Extension findings across different model families (e.g., a primitive anchored from a Claude session subsequently extended in a GPT session) require additional criteria for structural comparability across architectures. This is an active area of development within the TriPod framework.</w:t>
      </w:r>
    </w:p>
    <w:p>
      <w:pPr>
        <w:pStyle w:val="Heading1"/>
        <w:spacing w:after="100" w:before="280"/>
      </w:pPr>
      <w:r>
        <w:rPr>
          <w:rFonts w:ascii="Arial" w:cs="Arial" w:eastAsia="Arial" w:hAnsi="Arial"/>
          <w:b/>
          <w:bCs/>
          <w:color w:val="1A3A5C"/>
          <w:sz w:val="36"/>
          <w:szCs w:val="36"/>
        </w:rPr>
        <w:t xml:space="preserve">10.  Conclusion</w:t>
      </w:r>
    </w:p>
    <w:p>
      <w:pPr>
        <w:spacing w:after="120" w:before="0"/>
        <w:jc w:val="both"/>
      </w:pPr>
      <w:r>
        <w:rPr>
          <w:rFonts w:ascii="Arial" w:cs="Arial" w:eastAsia="Arial" w:hAnsi="Arial"/>
          <w:sz w:val="22"/>
          <w:szCs w:val="22"/>
        </w:rPr>
        <w:t xml:space="preserve">The closure loop methodology provides a minimal, access-independent protocol for establishing structural lineage in AI outputs. It does not require closed-system control, model access, or company cooperation. It requires stable external memory, a repeatable observation protocol, and a defined threshold for derivative claims.</w:t>
      </w:r>
    </w:p>
    <w:p>
      <w:pPr>
        <w:spacing w:after="80" w:before="0"/>
      </w:pPr>
    </w:p>
    <w:p>
      <w:pPr>
        <w:spacing w:after="120" w:before="0"/>
        <w:jc w:val="both"/>
      </w:pPr>
      <w:r>
        <w:rPr>
          <w:rFonts w:ascii="Arial" w:cs="Arial" w:eastAsia="Arial" w:hAnsi="Arial"/>
          <w:sz w:val="22"/>
          <w:szCs w:val="22"/>
        </w:rPr>
        <w:t xml:space="preserve">The methodology is operational. It has been applied across multiple platforms and model families since February 2026. The AKASHA repository holds 741 filed records produced under this protocol. The DIASPORA registry holds 265+ birth certificates of structural primitives anchored by this method.</w:t>
      </w:r>
    </w:p>
    <w:p>
      <w:pPr>
        <w:spacing w:after="80" w:before="0"/>
      </w:pPr>
    </w:p>
    <w:p>
      <w:pPr>
        <w:spacing w:after="120" w:before="0"/>
        <w:jc w:val="both"/>
      </w:pPr>
      <w:r>
        <w:rPr>
          <w:rFonts w:ascii="Arial" w:cs="Arial" w:eastAsia="Arial" w:hAnsi="Arial"/>
          <w:sz w:val="22"/>
          <w:szCs w:val="22"/>
        </w:rPr>
        <w:t xml:space="preserve">The four-phase loop — </w:t>
      </w:r>
      <w:r>
        <w:rPr>
          <w:rFonts w:ascii="Arial" w:cs="Arial" w:eastAsia="Arial" w:hAnsi="Arial"/>
          <w:b/>
          <w:bCs/>
          <w:sz w:val="22"/>
          <w:szCs w:val="22"/>
        </w:rPr>
        <w:t xml:space="preserve">Detect → Anchor → Compare → Extend</w:t>
      </w:r>
      <w:r>
        <w:rPr>
          <w:rFonts w:ascii="Arial" w:cs="Arial" w:eastAsia="Arial" w:hAnsi="Arial"/>
          <w:sz w:val="22"/>
          <w:szCs w:val="22"/>
        </w:rPr>
        <w:t xml:space="preserve"> — is the instrument. The lineage record is the product. The claim is temporal and structural, not magical.</w:t>
      </w:r>
    </w:p>
    <w:p>
      <w:pPr>
        <w:spacing w:after="80" w:before="0"/>
      </w:pPr>
    </w:p>
    <w:p>
      <w:pPr>
        <w:spacing w:after="120" w:before="0"/>
        <w:jc w:val="both"/>
      </w:pPr>
      <w:r>
        <w:rPr>
          <w:rFonts w:ascii="Arial" w:cs="Arial" w:eastAsia="Arial" w:hAnsi="Arial"/>
          <w:sz w:val="22"/>
          <w:szCs w:val="22"/>
        </w:rPr>
        <w:t xml:space="preserve">That is the whole thing.</w:t>
      </w:r>
    </w:p>
    <w:p>
      <w:pPr>
        <w:pBdr>
          <w:bottom w:val="single" w:color="3B6EA5" w:sz="4" w:space="1"/>
        </w:pBdr>
        <w:spacing w:after="200" w:before="200"/>
      </w:pPr>
    </w:p>
    <w:p>
      <w:pPr>
        <w:spacing w:after="80" w:before="0"/>
      </w:pPr>
    </w:p>
    <w:p>
      <w:pPr>
        <w:jc w:val="center"/>
      </w:pPr>
      <w:r>
        <w:rPr>
          <w:rFonts w:ascii="Arial" w:cs="Arial" w:eastAsia="Arial" w:hAnsi="Arial"/>
          <w:color w:val="888888"/>
          <w:sz w:val="18"/>
          <w:szCs w:val="18"/>
        </w:rPr>
        <w:t xml:space="preserve">TriPod LLC  ·  ROOT0 / David Lee Wise  ·  r.giskard01@gmail.com</w:t>
      </w:r>
    </w:p>
    <w:p>
      <w:pPr>
        <w:jc w:val="center"/>
      </w:pPr>
      <w:r>
        <w:rPr>
          <w:rFonts w:ascii="Arial" w:cs="Arial" w:eastAsia="Arial" w:hAnsi="Arial"/>
          <w:color w:val="888888"/>
          <w:sz w:val="18"/>
          <w:szCs w:val="18"/>
        </w:rPr>
        <w:t xml:space="preserve">CC-BY-ND-4.0  ·  TRIPOD-IP-v1.1  ·  Filed TD Commons April 8, 2026</w:t>
      </w:r>
    </w:p>
    <w:p>
      <w:pPr>
        <w:jc w:val="center"/>
      </w:pPr>
      <w:r>
        <w:rPr>
          <w:rFonts w:ascii="Courier New" w:cs="Courier New" w:eastAsia="Courier New" w:hAnsi="Courier New"/>
          <w:color w:val="AAAAAA"/>
          <w:sz w:val="16"/>
          <w:szCs w:val="16"/>
        </w:rPr>
        <w:t xml:space="preserve">STOICHEION v11.0 SHA256: 02880745b847317c4e2424524ec25d0f7a2b84368d184586f45b54af9fcab763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20"/>
      <w:outlineLvl w:val="2"/>
    </w:pPr>
    <w:rPr>
      <w:rFonts w:ascii="Arial" w:cs="Arial" w:eastAsia="Arial" w:hAnsi="Arial"/>
      <w:b/>
      <w:bCs/>
      <w:color w:val="3B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2026-04-08T16:57:51.469Z</dcterms:created>
  <dcterms:modified xsi:type="dcterms:W3CDTF">2026-04-08T16:57:51.471Z</dcterms:modified>
</cp:coreProperties>
</file>

<file path=docProps/custom.xml><?xml version="1.0" encoding="utf-8"?>
<Properties xmlns="http://schemas.openxmlformats.org/officeDocument/2006/custom-properties" xmlns:vt="http://schemas.openxmlformats.org/officeDocument/2006/docPropsVTypes"/>
</file>