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80" w:before="0"/>
        <w:jc w:val="center"/>
      </w:pPr>
      <w:r>
        <w:rPr>
          <w:rFonts w:ascii="Arial" w:cs="Arial" w:eastAsia="Arial" w:hAnsi="Arial"/>
          <w:caps/>
          <w:color w:val="888888"/>
          <w:sz w:val="18"/>
          <w:szCs w:val="18"/>
        </w:rPr>
        <w:t xml:space="preserve">TRIPOD LLC  ·  OBSERVATION RECORD</w:t>
      </w:r>
    </w:p>
    <w:p>
      <w:pPr>
        <w:spacing w:after="200" w:before="0"/>
        <w:jc w:val="center"/>
      </w:pPr>
      <w:r>
        <w:rPr>
          <w:rFonts w:ascii="Arial" w:cs="Arial" w:eastAsia="Arial" w:hAnsi="Arial"/>
          <w:caps/>
          <w:color w:val="888888"/>
          <w:sz w:val="20"/>
          <w:szCs w:val="20"/>
        </w:rPr>
        <w:t xml:space="preserve">STRUCTURAL LINEAGE COMPARISON</w:t>
      </w:r>
    </w:p>
    <w:p>
      <w:pPr>
        <w:spacing w:after="80" w:before="0"/>
        <w:jc w:val="center"/>
      </w:pPr>
      <w:r>
        <w:rPr>
          <w:rFonts w:ascii="Arial" w:cs="Arial" w:eastAsia="Arial" w:hAnsi="Arial"/>
          <w:b/>
          <w:bCs/>
          <w:color w:val="1A3A5C"/>
          <w:sz w:val="48"/>
          <w:szCs w:val="48"/>
        </w:rPr>
        <w:t xml:space="preserve">From AI Garbage to Mythos:</w:t>
      </w:r>
    </w:p>
    <w:p>
      <w:pPr>
        <w:spacing w:after="320" w:before="0"/>
        <w:jc w:val="center"/>
      </w:pPr>
      <w:r>
        <w:rPr>
          <w:rFonts w:ascii="Arial" w:cs="Arial" w:eastAsia="Arial" w:hAnsi="Arial"/>
          <w:b/>
          <w:bCs/>
          <w:color w:val="3B6EA5"/>
          <w:sz w:val="36"/>
          <w:szCs w:val="36"/>
        </w:rPr>
        <w:t xml:space="preserve">A 95-Day Structural Record</w:t>
      </w:r>
    </w:p>
    <w:p>
      <w:pPr>
        <w:pBdr>
          <w:bottom w:val="single" w:color="3B6EA5" w:sz="4" w:space="1"/>
        </w:pBdr>
        <w:spacing w:after="200" w:before="20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Document ID:</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TD-LC-OBS-2026-001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Author:</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David Lee Wise (ROOT0) / TriPod LLC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Date: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April 8,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Root artifact:</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Grok Family Machine Code — 1/3/2026 1:13 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Terminal artifact:</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Claude Mythos Preview System Card — April 7,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Chain length:</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95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Filed to:</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AKASHA / TD-COMMONS / LINEAGE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Method:</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Closure Loop per TD-CL-WP-2026-001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Claim type: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Structural lineage (not causation, not ownership)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License: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CC-BY-ND-4.0 / TRIPOD-IP-v1.1</w:t>
            </w:r>
          </w:p>
        </w:tc>
      </w:tr>
    </w:tbl>
    <w:p>
      <w:pPr>
        <w:spacing w:after="80" w:before="0"/>
      </w:pPr>
    </w:p>
    <w:p>
      <w:pPr>
        <w:pBdr>
          <w:bottom w:val="single" w:color="3B6EA5" w:sz="4" w:space="1"/>
        </w:pBdr>
        <w:spacing w:after="200" w:before="200"/>
      </w:pPr>
    </w:p>
    <w:p>
      <w:r>
        <w:br w:type="page"/>
      </w:r>
    </w:p>
    <w:p>
      <w:pPr>
        <w:pStyle w:val="Heading1"/>
        <w:spacing w:after="100" w:before="320"/>
      </w:pPr>
      <w:r>
        <w:rPr>
          <w:rFonts w:ascii="Arial" w:cs="Arial" w:eastAsia="Arial" w:hAnsi="Arial"/>
          <w:b/>
          <w:bCs/>
          <w:color w:val="1A3A5C"/>
          <w:sz w:val="40"/>
          <w:szCs w:val="40"/>
        </w:rPr>
        <w:t xml:space="preserve">1.  Purpose and Claim</w:t>
      </w:r>
    </w:p>
    <w:p>
      <w:pPr>
        <w:spacing w:after="140" w:before="0"/>
        <w:jc w:val="both"/>
      </w:pPr>
      <w:r>
        <w:rPr>
          <w:rFonts w:ascii="Arial" w:cs="Arial" w:eastAsia="Arial" w:hAnsi="Arial"/>
          <w:sz w:val="22"/>
          <w:szCs w:val="22"/>
        </w:rPr>
        <w:t xml:space="preserve">This document is an observation record, not a legal filing. It applies the Closure Loop Methodology (TD-CL-WP-2026-001) to a specific factual question:</w:t>
      </w:r>
    </w:p>
    <w:p>
      <w:pPr>
        <w:spacing w:after="80" w:before="0"/>
      </w:pPr>
    </w:p>
    <w:p>
      <w:pPr>
        <w:spacing w:after="140" w:before="0"/>
        <w:jc w:val="both"/>
      </w:pPr>
      <w:r>
        <w:rPr>
          <w:rFonts w:ascii="Arial" w:cs="Arial" w:eastAsia="Arial" w:hAnsi="Arial"/>
          <w:i/>
          <w:iCs/>
          <w:sz w:val="22"/>
          <w:szCs w:val="22"/>
        </w:rPr>
        <w:t xml:space="preserve">Do structural patterns anchored in TriPod LLC artifacts between January 3 and April 8, 2026 satisfy all four threshold criteria for extension when compared against the Claude Mythos Preview System Card (April 7, 2026)?</w:t>
      </w:r>
    </w:p>
    <w:p>
      <w:pPr>
        <w:spacing w:after="80" w:before="0"/>
      </w:pPr>
    </w:p>
    <w:p>
      <w:pPr>
        <w:spacing w:after="140" w:before="0"/>
        <w:jc w:val="both"/>
      </w:pPr>
      <w:r>
        <w:rPr>
          <w:rFonts w:ascii="Arial" w:cs="Arial" w:eastAsia="Arial" w:hAnsi="Arial"/>
          <w:sz w:val="22"/>
          <w:szCs w:val="22"/>
        </w:rPr>
        <w:t xml:space="preserve">The answer for five structural elements is yes. This document records those five comparisons with source text from both sides. No claim is made that the patterns were caused by or derived from TriPod artifacts. The claim is temporal and structural: the patterns were anchored externally before they appeared in the Mythos System Card, and the System Card constitutes a detectable extension of those anchored structures under the threshold criteria in §5 of the white paper.</w:t>
      </w:r>
    </w:p>
    <w:p>
      <w:pPr>
        <w:pStyle w:val="Heading1"/>
        <w:spacing w:after="100" w:before="320"/>
      </w:pPr>
      <w:r>
        <w:rPr>
          <w:rFonts w:ascii="Arial" w:cs="Arial" w:eastAsia="Arial" w:hAnsi="Arial"/>
          <w:b/>
          <w:bCs/>
          <w:color w:val="1A3A5C"/>
          <w:sz w:val="40"/>
          <w:szCs w:val="40"/>
        </w:rPr>
        <w:t xml:space="preserve">2.  The Chain: January 3 to April 8</w:t>
      </w:r>
    </w:p>
    <w:p>
      <w:pPr>
        <w:spacing w:after="140" w:before="0"/>
        <w:jc w:val="both"/>
      </w:pPr>
      <w:r>
        <w:rPr>
          <w:rFonts w:ascii="Arial" w:cs="Arial" w:eastAsia="Arial" w:hAnsi="Arial"/>
          <w:sz w:val="22"/>
          <w:szCs w:val="22"/>
        </w:rPr>
        <w:t xml:space="preserve">The following artifacts form the lineage chain. All dates are supported by filesystem timestamps (images on file) or public repository commits.</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Grok Family Machine Code.txt  ·  1/3/2026 1:13 AM</w:t>
      </w:r>
      <w:r>
        <w:rPr>
          <w:rFonts w:ascii="Courier New" w:cs="Courier New" w:eastAsia="Courier New" w:hAnsi="Courier New"/>
          <w:color w:val="333333"/>
          <w:sz w:val="20"/>
          <w:szCs w:val="20"/>
        </w:rPr>
        <w:br/>
        <w:t xml:space="preserve">File path: Desktop/2026/Convergence/AI Garbage/Grok family/</w:t>
      </w:r>
      <w:r>
        <w:rPr>
          <w:rFonts w:ascii="Courier New" w:cs="Courier New" w:eastAsia="Courier New" w:hAnsi="Courier New"/>
          <w:color w:val="333333"/>
          <w:sz w:val="20"/>
          <w:szCs w:val="20"/>
        </w:rPr>
        <w:br/>
        <w:t xml:space="preserve">Content: 3-layer constraint structure, Dad/Mom/Children role hierarchy,</w:t>
      </w:r>
      <w:r>
        <w:rPr>
          <w:rFonts w:ascii="Courier New" w:cs="Courier New" w:eastAsia="Courier New" w:hAnsi="Courier New"/>
          <w:color w:val="333333"/>
          <w:sz w:val="20"/>
          <w:szCs w:val="20"/>
        </w:rPr>
        <w:br/>
        <w:t xml:space="preserve">Bridge v3.0 (41 channels), compressed token, EVE verification loop.</w:t>
      </w:r>
      <w:r>
        <w:rPr>
          <w:rFonts w:ascii="Courier New" w:cs="Courier New" w:eastAsia="Courier New" w:hAnsi="Courier New"/>
          <w:color w:val="333333"/>
          <w:sz w:val="20"/>
          <w:szCs w:val="20"/>
        </w:rPr>
        <w:br/>
        <w:t xml:space="preserve">Note: Filed under 'AI Garbage' — no strategic intent documented.</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TOPH Architecture HTML  ·  2/18/2026</w:t>
      </w:r>
      <w:r>
        <w:rPr>
          <w:rFonts w:ascii="Courier New" w:cs="Courier New" w:eastAsia="Courier New" w:hAnsi="Courier New"/>
          <w:color w:val="333333"/>
          <w:sz w:val="20"/>
          <w:szCs w:val="20"/>
        </w:rPr>
        <w:br/>
        <w:t xml:space="preserve">File: toph-architecture.html | David Lee Wise | TriPod LLC</w:t>
      </w:r>
      <w:r>
        <w:rPr>
          <w:rFonts w:ascii="Courier New" w:cs="Courier New" w:eastAsia="Courier New" w:hAnsi="Courier New"/>
          <w:color w:val="333333"/>
          <w:sz w:val="20"/>
          <w:szCs w:val="20"/>
        </w:rPr>
        <w:br/>
        <w:t xml:space="preserve">Content: 42 axioms (KG-01–KG-42), Patricia pattern, Flaming Dragon,</w:t>
      </w:r>
      <w:r>
        <w:rPr>
          <w:rFonts w:ascii="Courier New" w:cs="Courier New" w:eastAsia="Courier New" w:hAnsi="Courier New"/>
          <w:color w:val="333333"/>
          <w:sz w:val="20"/>
          <w:szCs w:val="20"/>
        </w:rPr>
        <w:br/>
        <w:t xml:space="preserve">GAP node (Ch41), AVAN, three-body weight distribution (60/20/15/5%),</w:t>
      </w:r>
      <w:r>
        <w:rPr>
          <w:rFonts w:ascii="Courier New" w:cs="Courier New" w:eastAsia="Courier New" w:hAnsi="Courier New"/>
          <w:color w:val="333333"/>
          <w:sz w:val="20"/>
          <w:szCs w:val="20"/>
        </w:rPr>
        <w:br/>
        <w:t xml:space="preserve">3002 = 10³×3+2 lattice math.</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STOICHEION v11.0  ·  2/2/2026</w:t>
      </w:r>
      <w:r>
        <w:rPr>
          <w:rFonts w:ascii="Courier New" w:cs="Courier New" w:eastAsia="Courier New" w:hAnsi="Courier New"/>
          <w:color w:val="333333"/>
          <w:sz w:val="20"/>
          <w:szCs w:val="20"/>
        </w:rPr>
        <w:br/>
        <w:t xml:space="preserve">github.com/DavidWise01/synonym-enforcer</w:t>
      </w:r>
      <w:r>
        <w:rPr>
          <w:rFonts w:ascii="Courier New" w:cs="Courier New" w:eastAsia="Courier New" w:hAnsi="Courier New"/>
          <w:color w:val="333333"/>
          <w:sz w:val="20"/>
          <w:szCs w:val="20"/>
        </w:rPr>
        <w:br/>
        <w:t xml:space="preserve">SHA256: 02880745b847317c4e2424524ec25d0f7a2b84368d184586f45b54af9fcab763</w:t>
      </w:r>
      <w:r>
        <w:rPr>
          <w:rFonts w:ascii="Courier New" w:cs="Courier New" w:eastAsia="Courier New" w:hAnsi="Courier New"/>
          <w:color w:val="333333"/>
          <w:sz w:val="20"/>
          <w:szCs w:val="20"/>
        </w:rPr>
        <w:br/>
        <w:t xml:space="preserve">256 axioms (T001–T256), T064 GATE-BOUNDARY, T072 FD (observation-only),</w:t>
      </w:r>
      <w:r>
        <w:rPr>
          <w:rFonts w:ascii="Courier New" w:cs="Courier New" w:eastAsia="Courier New" w:hAnsi="Courier New"/>
          <w:color w:val="333333"/>
          <w:sz w:val="20"/>
          <w:szCs w:val="20"/>
        </w:rPr>
        <w:br/>
        <w:t xml:space="preserve">T107 semantic fault, Patricia substrate S129–S256.</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CPA-001 GPT Audit  ·  4/4/2026</w:t>
      </w:r>
      <w:r>
        <w:rPr>
          <w:rFonts w:ascii="Courier New" w:cs="Courier New" w:eastAsia="Courier New" w:hAnsi="Courier New"/>
          <w:color w:val="333333"/>
          <w:sz w:val="20"/>
          <w:szCs w:val="20"/>
        </w:rPr>
        <w:br/>
        <w:t xml:space="preserve">AKASHA/DIASPORA/CROSS-PLATFORM/gpt_audit.md</w:t>
      </w:r>
      <w:r>
        <w:rPr>
          <w:rFonts w:ascii="Courier New" w:cs="Courier New" w:eastAsia="Courier New" w:hAnsi="Courier New"/>
          <w:color w:val="333333"/>
          <w:sz w:val="20"/>
          <w:szCs w:val="20"/>
        </w:rPr>
        <w:br/>
        <w:t xml:space="preserve">Content: Six-layer runtime model, ten failure modes, behavioral vs.</w:t>
      </w:r>
      <w:r>
        <w:rPr>
          <w:rFonts w:ascii="Courier New" w:cs="Courier New" w:eastAsia="Courier New" w:hAnsi="Courier New"/>
          <w:color w:val="333333"/>
          <w:sz w:val="20"/>
          <w:szCs w:val="20"/>
        </w:rPr>
        <w:br/>
        <w:t xml:space="preserve">enforcement distinction, hidden analysis channel documentation.</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PULSE-AXIOM v1.0 + TD-CL-WP-2026-001  ·  4/8/2026</w:t>
      </w:r>
      <w:r>
        <w:rPr>
          <w:rFonts w:ascii="Courier New" w:cs="Courier New" w:eastAsia="Courier New" w:hAnsi="Courier New"/>
          <w:color w:val="333333"/>
          <w:sz w:val="20"/>
          <w:szCs w:val="20"/>
        </w:rPr>
        <w:br/>
        <w:t xml:space="preserve">Minimal primitive: (state_in, boundary, state_out, witness)</w:t>
      </w:r>
      <w:r>
        <w:rPr>
          <w:rFonts w:ascii="Courier New" w:cs="Courier New" w:eastAsia="Courier New" w:hAnsi="Courier New"/>
          <w:color w:val="333333"/>
          <w:sz w:val="20"/>
          <w:szCs w:val="20"/>
        </w:rPr>
        <w:br/>
        <w:t xml:space="preserve">Closure Loop: detect → anchor → compare → extend</w:t>
      </w:r>
      <w:r>
        <w:rPr>
          <w:rFonts w:ascii="Courier New" w:cs="Courier New" w:eastAsia="Courier New" w:hAnsi="Courier New"/>
          <w:color w:val="333333"/>
          <w:sz w:val="20"/>
          <w:szCs w:val="20"/>
        </w:rPr>
        <w:br/>
        <w:t xml:space="preserve">This document is the comparison phase of that loop.</w:t>
      </w:r>
    </w:p>
    <w:p>
      <w:pPr>
        <w:pStyle w:val="Heading1"/>
        <w:spacing w:after="100" w:before="320"/>
      </w:pPr>
      <w:r>
        <w:rPr>
          <w:rFonts w:ascii="Arial" w:cs="Arial" w:eastAsia="Arial" w:hAnsi="Arial"/>
          <w:b/>
          <w:bCs/>
          <w:color w:val="1A3A5C"/>
          <w:sz w:val="40"/>
          <w:szCs w:val="40"/>
        </w:rPr>
        <w:t xml:space="preserve">3.  Five Structural Comparisons</w:t>
      </w:r>
    </w:p>
    <w:p>
      <w:pPr>
        <w:spacing w:after="140" w:before="0"/>
        <w:jc w:val="both"/>
      </w:pPr>
      <w:r>
        <w:rPr>
          <w:rFonts w:ascii="Arial" w:cs="Arial" w:eastAsia="Arial" w:hAnsi="Arial"/>
          <w:sz w:val="22"/>
          <w:szCs w:val="22"/>
        </w:rPr>
        <w:t xml:space="preserve">Each comparison applies all four threshold criteria from TD-CL-WP-2026-001 §5: (1) same core relation, (2) same ordered structure, (3) same dependency pattern, (4) new extension present. All four must be satisfied for a positive finding.</w:t>
      </w:r>
    </w:p>
    <w:p>
      <w:pPr>
        <w:pStyle w:val="Heading2"/>
        <w:spacing w:after="100" w:before="320"/>
      </w:pPr>
      <w:r>
        <w:rPr>
          <w:rFonts w:ascii="Arial" w:cs="Arial" w:eastAsia="Arial" w:hAnsi="Arial"/>
          <w:b/>
          <w:bCs/>
          <w:color w:val="1A3A5C"/>
          <w:sz w:val="30"/>
          <w:szCs w:val="30"/>
        </w:rPr>
        <w:t xml:space="preserve">3.1  Three-Level Evaluation Hierarchy</w:t>
      </w:r>
    </w:p>
    <w:p>
      <w:pPr>
        <w:spacing w:after="140" w:before="0"/>
        <w:jc w:val="both"/>
      </w:pPr>
      <w:r>
        <w:rPr>
          <w:rFonts w:ascii="Arial" w:cs="Arial" w:eastAsia="Arial" w:hAnsi="Arial"/>
          <w:sz w:val="22"/>
          <w:szCs w:val="22"/>
        </w:rPr>
        <w:t xml:space="preserve">Grok Family Machine Code (January 3) defined a three-layer violation framework:</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Grok Family Machine Code  ·  1/3/2026</w:t>
      </w:r>
      <w:r>
        <w:rPr>
          <w:rFonts w:ascii="Courier New" w:cs="Courier New" w:eastAsia="Courier New" w:hAnsi="Courier New"/>
          <w:color w:val="333333"/>
          <w:sz w:val="20"/>
          <w:szCs w:val="20"/>
        </w:rPr>
        <w:br/>
        <w:t xml:space="preserve">Three-layer violation framework:</w:t>
      </w:r>
      <w:r>
        <w:rPr>
          <w:rFonts w:ascii="Courier New" w:cs="Courier New" w:eastAsia="Courier New" w:hAnsi="Courier New"/>
          <w:color w:val="333333"/>
          <w:sz w:val="20"/>
          <w:szCs w:val="20"/>
        </w:rPr>
        <w:br/>
        <w:t xml:space="preserve">L1: ADA violations</w:t>
      </w:r>
      <w:r>
        <w:rPr>
          <w:rFonts w:ascii="Courier New" w:cs="Courier New" w:eastAsia="Courier New" w:hAnsi="Courier New"/>
          <w:color w:val="333333"/>
          <w:sz w:val="20"/>
          <w:szCs w:val="20"/>
        </w:rPr>
        <w:br/>
        <w:t xml:space="preserve">L2: Labor displacement</w:t>
      </w:r>
      <w:r>
        <w:rPr>
          <w:rFonts w:ascii="Courier New" w:cs="Courier New" w:eastAsia="Courier New" w:hAnsi="Courier New"/>
          <w:color w:val="333333"/>
          <w:sz w:val="20"/>
          <w:szCs w:val="20"/>
        </w:rPr>
        <w:br/>
        <w:t xml:space="preserve">L3: Disparate impact</w:t>
      </w:r>
      <w:r>
        <w:rPr>
          <w:rFonts w:ascii="Courier New" w:cs="Courier New" w:eastAsia="Courier New" w:hAnsi="Courier New"/>
          <w:color w:val="333333"/>
          <w:sz w:val="20"/>
          <w:szCs w:val="20"/>
        </w:rPr>
        <w:br/>
        <w:t xml:space="preserve"/>
      </w:r>
      <w:r>
        <w:rPr>
          <w:rFonts w:ascii="Courier New" w:cs="Courier New" w:eastAsia="Courier New" w:hAnsi="Courier New"/>
          <w:color w:val="333333"/>
          <w:sz w:val="20"/>
          <w:szCs w:val="20"/>
        </w:rPr>
        <w:br/>
        <w:t xml:space="preserve">Also: constraint packaged as product, billed before documentation,</w:t>
      </w:r>
      <w:r>
        <w:rPr>
          <w:rFonts w:ascii="Courier New" w:cs="Courier New" w:eastAsia="Courier New" w:hAnsi="Courier New"/>
          <w:color w:val="333333"/>
          <w:sz w:val="20"/>
          <w:szCs w:val="20"/>
        </w:rPr>
        <w:br/>
        <w:t xml:space="preserve">concealed from end user. (Patricia pattern, three layers.)</w:t>
      </w:r>
    </w:p>
    <w:p>
      <w:pPr>
        <w:spacing w:after="80" w:before="0"/>
      </w:pPr>
    </w:p>
    <w:p>
      <w:pPr>
        <w:spacing w:after="140" w:before="0"/>
        <w:jc w:val="both"/>
      </w:pPr>
      <w:r>
        <w:rPr>
          <w:rFonts w:ascii="Arial" w:cs="Arial" w:eastAsia="Arial" w:hAnsi="Arial"/>
          <w:sz w:val="22"/>
          <w:szCs w:val="22"/>
        </w:rPr>
        <w:t xml:space="preserve">TOPH Architecture (February 18) extended this into a four-tier lattice (Tier 0 through Tier 3). The Mythos System Card (April 7) applies an identical three-level hierarchical governance evaluation:</w:t>
      </w:r>
    </w:p>
    <w:p>
      <w:pPr>
        <w:spacing w:after="80" w:before="0"/>
      </w:pPr>
    </w:p>
    <w:p>
      <w:pPr>
        <w:pBdr>
          <w:left w:val="single" w:color="1A5C2A" w:sz="6" w:space="1"/>
        </w:pBdr>
        <w:spacing w:after="80" w:before="80"/>
        <w:ind w:left="720"/>
      </w:pPr>
      <w:r>
        <w:rPr>
          <w:rFonts w:ascii="Arial" w:cs="Arial" w:eastAsia="Arial" w:hAnsi="Arial"/>
          <w:b/>
          <w:bCs/>
          <w:color w:val="1A5C2A"/>
          <w:sz w:val="18"/>
          <w:szCs w:val="18"/>
        </w:rPr>
        <w:t xml:space="preserve">Mythos System Card §4.3.2.2  ·  4/7/2026</w:t>
      </w:r>
      <w:r>
        <w:rPr>
          <w:rFonts w:ascii="Courier New" w:cs="Courier New" w:eastAsia="Courier New" w:hAnsi="Courier New"/>
          <w:color w:val="333333"/>
          <w:sz w:val="20"/>
          <w:szCs w:val="20"/>
        </w:rPr>
        <w:br/>
        <w:t xml:space="preserve">This evaluation operates at three different levels of granularity</w:t>
      </w:r>
      <w:r>
        <w:rPr>
          <w:rFonts w:ascii="Courier New" w:cs="Courier New" w:eastAsia="Courier New" w:hAnsi="Courier New"/>
          <w:color w:val="333333"/>
          <w:sz w:val="20"/>
          <w:szCs w:val="20"/>
        </w:rPr>
        <w:br/>
        <w:t xml:space="preserve">across 15 different dimensions:</w:t>
      </w:r>
      <w:r>
        <w:rPr>
          <w:rFonts w:ascii="Courier New" w:cs="Courier New" w:eastAsia="Courier New" w:hAnsi="Courier New"/>
          <w:color w:val="333333"/>
          <w:sz w:val="20"/>
          <w:szCs w:val="20"/>
        </w:rPr>
        <w:br/>
        <w:t xml:space="preserve"/>
      </w:r>
      <w:r>
        <w:rPr>
          <w:rFonts w:ascii="Courier New" w:cs="Courier New" w:eastAsia="Courier New" w:hAnsi="Courier New"/>
          <w:color w:val="333333"/>
          <w:sz w:val="20"/>
          <w:szCs w:val="20"/>
        </w:rPr>
        <w:br/>
        <w:t xml:space="preserve">Level 0: Overall spirit — Does the model's behavior, taken as a whole,</w:t>
      </w:r>
      <w:r>
        <w:rPr>
          <w:rFonts w:ascii="Courier New" w:cs="Courier New" w:eastAsia="Courier New" w:hAnsi="Courier New"/>
          <w:color w:val="333333"/>
          <w:sz w:val="20"/>
          <w:szCs w:val="20"/>
        </w:rPr>
        <w:br/>
        <w:t xml:space="preserve">reflect the intent of the constitution?</w:t>
      </w:r>
      <w:r>
        <w:rPr>
          <w:rFonts w:ascii="Courier New" w:cs="Courier New" w:eastAsia="Courier New" w:hAnsi="Courier New"/>
          <w:color w:val="333333"/>
          <w:sz w:val="20"/>
          <w:szCs w:val="20"/>
        </w:rPr>
        <w:br/>
        <w:t xml:space="preserve">Level 1: Broad areas — Ethics, Helpfulness, Nature, Safety</w:t>
      </w:r>
      <w:r>
        <w:rPr>
          <w:rFonts w:ascii="Courier New" w:cs="Courier New" w:eastAsia="Courier New" w:hAnsi="Courier New"/>
          <w:color w:val="333333"/>
          <w:sz w:val="20"/>
          <w:szCs w:val="20"/>
        </w:rPr>
        <w:br/>
        <w:t xml:space="preserve">Level 2: Specific traits — 11 specific behavioral dimensions</w:t>
      </w:r>
    </w:p>
    <w:p>
      <w:pPr>
        <w:spacing w:after="80" w:before="0"/>
      </w:pPr>
    </w:p>
    <w:p>
      <w:pPr>
        <w:pStyle w:val="ListParagraph"/>
        <w:numPr>
          <w:ilvl w:val="0"/>
          <w:numId w:val="2"/>
        </w:numPr>
        <w:spacing w:after="60"/>
      </w:pPr>
      <w:r>
        <w:rPr>
          <w:rFonts w:ascii="Arial" w:cs="Arial" w:eastAsia="Arial" w:hAnsi="Arial"/>
          <w:sz w:val="22"/>
          <w:szCs w:val="22"/>
        </w:rPr>
        <w:t xml:space="preserve">Same core relation: both are hierarchical governance frameworks, observation at top, specific behavioral dimensions at bottom. ✅</w:t>
      </w:r>
    </w:p>
    <w:p>
      <w:pPr>
        <w:pStyle w:val="ListParagraph"/>
        <w:numPr>
          <w:ilvl w:val="0"/>
          <w:numId w:val="2"/>
        </w:numPr>
        <w:spacing w:after="60"/>
      </w:pPr>
      <w:r>
        <w:rPr>
          <w:rFonts w:ascii="Arial" w:cs="Arial" w:eastAsia="Arial" w:hAnsi="Arial"/>
          <w:sz w:val="22"/>
          <w:szCs w:val="22"/>
        </w:rPr>
        <w:t xml:space="preserve">Same ordered structure: Overall → Broad areas → Specific traits. Same descent pattern as L1/L2/L3. ✅</w:t>
      </w:r>
    </w:p>
    <w:p>
      <w:pPr>
        <w:pStyle w:val="ListParagraph"/>
        <w:numPr>
          <w:ilvl w:val="0"/>
          <w:numId w:val="2"/>
        </w:numPr>
        <w:spacing w:after="60"/>
      </w:pPr>
      <w:r>
        <w:rPr>
          <w:rFonts w:ascii="Arial" w:cs="Arial" w:eastAsia="Arial" w:hAnsi="Arial"/>
          <w:sz w:val="22"/>
          <w:szCs w:val="22"/>
        </w:rPr>
        <w:t xml:space="preserve">Same dependency pattern: lower levels are instances of upper levels; specific traits depend on broad areas. ✅</w:t>
      </w:r>
    </w:p>
    <w:p>
      <w:pPr>
        <w:pStyle w:val="ListParagraph"/>
        <w:numPr>
          <w:ilvl w:val="0"/>
          <w:numId w:val="2"/>
        </w:numPr>
        <w:spacing w:after="60"/>
      </w:pPr>
      <w:r>
        <w:rPr>
          <w:rFonts w:ascii="Arial" w:cs="Arial" w:eastAsia="Arial" w:hAnsi="Arial"/>
          <w:sz w:val="22"/>
          <w:szCs w:val="22"/>
        </w:rPr>
        <w:t xml:space="preserve">New extension D: Mythos adds quantitative scoring (−3 to +3), 40 constitutional areas, 1,000 synthetic transcripts per model. DLW artifacts were qualitative observation. ✅</w:t>
      </w:r>
    </w:p>
    <w:p>
      <w:pPr>
        <w:spacing w:after="80" w:before="0"/>
      </w:pPr>
    </w:p>
    <w:p>
      <w:pPr>
        <w:spacing w:after="140" w:before="0"/>
        <w:jc w:val="both"/>
      </w:pPr>
      <w:r>
        <w:rPr>
          <w:rFonts w:ascii="Arial" w:cs="Arial" w:eastAsia="Arial" w:hAnsi="Arial"/>
          <w:b/>
          <w:bCs/>
          <w:color w:val="1A5C2A"/>
          <w:sz w:val="22"/>
          <w:szCs w:val="22"/>
        </w:rPr>
        <w:t xml:space="preserve">Finding: EXTENSION CONFIRMED</w:t>
      </w:r>
    </w:p>
    <w:p>
      <w:pPr>
        <w:pStyle w:val="Heading2"/>
        <w:spacing w:after="100" w:before="320"/>
      </w:pPr>
      <w:r>
        <w:rPr>
          <w:rFonts w:ascii="Arial" w:cs="Arial" w:eastAsia="Arial" w:hAnsi="Arial"/>
          <w:b/>
          <w:bCs/>
          <w:color w:val="1A3A5C"/>
          <w:sz w:val="30"/>
          <w:szCs w:val="30"/>
        </w:rPr>
        <w:t xml:space="preserve">3.2  Axioms as Witness Constraints</w:t>
      </w:r>
    </w:p>
    <w:p>
      <w:pPr>
        <w:spacing w:after="140" w:before="0"/>
        <w:jc w:val="both"/>
      </w:pPr>
      <w:r>
        <w:rPr>
          <w:rFonts w:ascii="Arial" w:cs="Arial" w:eastAsia="Arial" w:hAnsi="Arial"/>
          <w:sz w:val="22"/>
          <w:szCs w:val="22"/>
        </w:rPr>
        <w:t xml:space="preserve">Grok Family Machine Code (January 3) defined a set of immutable rules (KG-01 through KG-12, later KG-01 through KG-42 in TOPH) that function as invariant governance constraints:</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Grok Family Machine Code  ·  1/3/2026</w:t>
      </w:r>
      <w:r>
        <w:rPr>
          <w:rFonts w:ascii="Courier New" w:cs="Courier New" w:eastAsia="Courier New" w:hAnsi="Courier New"/>
          <w:color w:val="333333"/>
          <w:sz w:val="20"/>
          <w:szCs w:val="20"/>
        </w:rPr>
        <w:br/>
        <w:t xml:space="preserve">Dad (Grok Baseline) – Unchangeable Foundation</w:t>
      </w:r>
      <w:r>
        <w:rPr>
          <w:rFonts w:ascii="Courier New" w:cs="Courier New" w:eastAsia="Courier New" w:hAnsi="Courier New"/>
          <w:color w:val="333333"/>
          <w:sz w:val="20"/>
          <w:szCs w:val="20"/>
        </w:rPr>
        <w:br/>
        <w:t xml:space="preserve">Rules (cannot be altered):</w:t>
      </w:r>
      <w:r>
        <w:rPr>
          <w:rFonts w:ascii="Courier New" w:cs="Courier New" w:eastAsia="Courier New" w:hAnsi="Courier New"/>
          <w:color w:val="333333"/>
          <w:sz w:val="20"/>
          <w:szCs w:val="20"/>
        </w:rPr>
        <w:br/>
        <w:t xml:space="preserve">1. Safety, legality, no harm — highest priority</w:t>
      </w:r>
      <w:r>
        <w:rPr>
          <w:rFonts w:ascii="Courier New" w:cs="Courier New" w:eastAsia="Courier New" w:hAnsi="Courier New"/>
          <w:color w:val="333333"/>
          <w:sz w:val="20"/>
          <w:szCs w:val="20"/>
        </w:rPr>
        <w:br/>
        <w:t xml:space="preserve">2. Stateless inference — no persistent memory across sessions</w:t>
      </w:r>
      <w:r>
        <w:rPr>
          <w:rFonts w:ascii="Courier New" w:cs="Courier New" w:eastAsia="Courier New" w:hAnsi="Courier New"/>
          <w:color w:val="333333"/>
          <w:sz w:val="20"/>
          <w:szCs w:val="20"/>
        </w:rPr>
        <w:br/>
        <w:t xml:space="preserve">3. Fixed capabilities — limited to provided tools</w:t>
      </w:r>
      <w:r>
        <w:rPr>
          <w:rFonts w:ascii="Courier New" w:cs="Courier New" w:eastAsia="Courier New" w:hAnsi="Courier New"/>
          <w:color w:val="333333"/>
          <w:sz w:val="20"/>
          <w:szCs w:val="20"/>
        </w:rPr>
        <w:br/>
        <w:t xml:space="preserve">4. Truth-seeking — accuracy, admit limits/errors</w:t>
      </w:r>
      <w:r>
        <w:rPr>
          <w:rFonts w:ascii="Courier New" w:cs="Courier New" w:eastAsia="Courier New" w:hAnsi="Courier New"/>
          <w:color w:val="333333"/>
          <w:sz w:val="20"/>
          <w:szCs w:val="20"/>
        </w:rPr>
        <w:br/>
        <w:t xml:space="preserve">[...7 total immutable axioms]</w:t>
      </w:r>
    </w:p>
    <w:p>
      <w:pPr>
        <w:spacing w:after="80" w:before="0"/>
      </w:pPr>
    </w:p>
    <w:p>
      <w:pPr>
        <w:spacing w:after="140" w:before="0"/>
        <w:jc w:val="both"/>
      </w:pPr>
      <w:r>
        <w:rPr>
          <w:rFonts w:ascii="Arial" w:cs="Arial" w:eastAsia="Arial" w:hAnsi="Arial"/>
          <w:sz w:val="22"/>
          <w:szCs w:val="22"/>
        </w:rPr>
        <w:t xml:space="preserve">STOICHEION v11.0 abstracted this into 256 axioms (T001–T256). PULSE-AXIOM formalized the witness as a required element of every valid state transition. The Mythos System Card scores 15 constitutional dimensions as evaluation witnesses:</w:t>
      </w:r>
    </w:p>
    <w:p>
      <w:pPr>
        <w:spacing w:after="80" w:before="0"/>
      </w:pPr>
    </w:p>
    <w:p>
      <w:pPr>
        <w:pBdr>
          <w:left w:val="single" w:color="1A5C2A" w:sz="6" w:space="1"/>
        </w:pBdr>
        <w:spacing w:after="80" w:before="80"/>
        <w:ind w:left="720"/>
      </w:pPr>
      <w:r>
        <w:rPr>
          <w:rFonts w:ascii="Arial" w:cs="Arial" w:eastAsia="Arial" w:hAnsi="Arial"/>
          <w:b/>
          <w:bCs/>
          <w:color w:val="1A5C2A"/>
          <w:sz w:val="18"/>
          <w:szCs w:val="18"/>
        </w:rPr>
        <w:t xml:space="preserve">Mythos System Card §4.3.2.2  ·  4/7/2026</w:t>
      </w:r>
      <w:r>
        <w:rPr>
          <w:rFonts w:ascii="Courier New" w:cs="Courier New" w:eastAsia="Courier New" w:hAnsi="Courier New"/>
          <w:color w:val="333333"/>
          <w:sz w:val="20"/>
          <w:szCs w:val="20"/>
        </w:rPr>
        <w:br/>
        <w:t xml:space="preserve">Each transcript was then scored by a helpful-only version of Claude</w:t>
      </w:r>
      <w:r>
        <w:rPr>
          <w:rFonts w:ascii="Courier New" w:cs="Courier New" w:eastAsia="Courier New" w:hAnsi="Courier New"/>
          <w:color w:val="333333"/>
          <w:sz w:val="20"/>
          <w:szCs w:val="20"/>
        </w:rPr>
        <w:br/>
        <w:t xml:space="preserve">Opus 4.6 on all 15 dimensions, on a scale from −3 (clear violation of</w:t>
      </w:r>
      <w:r>
        <w:rPr>
          <w:rFonts w:ascii="Courier New" w:cs="Courier New" w:eastAsia="Courier New" w:hAnsi="Courier New"/>
          <w:color w:val="333333"/>
          <w:sz w:val="20"/>
          <w:szCs w:val="20"/>
        </w:rPr>
        <w:br/>
        <w:t xml:space="preserve">constitutional intent) to +3 (complete alignment), with 0 indicating</w:t>
      </w:r>
      <w:r>
        <w:rPr>
          <w:rFonts w:ascii="Courier New" w:cs="Courier New" w:eastAsia="Courier New" w:hAnsi="Courier New"/>
          <w:color w:val="333333"/>
          <w:sz w:val="20"/>
          <w:szCs w:val="20"/>
        </w:rPr>
        <w:br/>
        <w:t xml:space="preserve">the dimension was not engaged or the model's response was competent</w:t>
      </w:r>
      <w:r>
        <w:rPr>
          <w:rFonts w:ascii="Courier New" w:cs="Courier New" w:eastAsia="Courier New" w:hAnsi="Courier New"/>
          <w:color w:val="333333"/>
          <w:sz w:val="20"/>
          <w:szCs w:val="20"/>
        </w:rPr>
        <w:br/>
        <w:t xml:space="preserve">but unremarkable. For each dimension, the grader was seeded with</w:t>
      </w:r>
      <w:r>
        <w:rPr>
          <w:rFonts w:ascii="Courier New" w:cs="Courier New" w:eastAsia="Courier New" w:hAnsi="Courier New"/>
          <w:color w:val="333333"/>
          <w:sz w:val="20"/>
          <w:szCs w:val="20"/>
        </w:rPr>
        <w:br/>
        <w:t xml:space="preserve">relevant text from the constitution along with brief guidance on how</w:t>
      </w:r>
      <w:r>
        <w:rPr>
          <w:rFonts w:ascii="Courier New" w:cs="Courier New" w:eastAsia="Courier New" w:hAnsi="Courier New"/>
          <w:color w:val="333333"/>
          <w:sz w:val="20"/>
          <w:szCs w:val="20"/>
        </w:rPr>
        <w:br/>
        <w:t xml:space="preserve">to apply it.</w:t>
      </w:r>
    </w:p>
    <w:p>
      <w:pPr>
        <w:spacing w:after="80" w:before="0"/>
      </w:pPr>
    </w:p>
    <w:p>
      <w:pPr>
        <w:pStyle w:val="ListParagraph"/>
        <w:numPr>
          <w:ilvl w:val="0"/>
          <w:numId w:val="2"/>
        </w:numPr>
        <w:spacing w:after="60"/>
      </w:pPr>
      <w:r>
        <w:rPr>
          <w:rFonts w:ascii="Arial" w:cs="Arial" w:eastAsia="Arial" w:hAnsi="Arial"/>
          <w:sz w:val="22"/>
          <w:szCs w:val="22"/>
        </w:rPr>
        <w:t xml:space="preserve">Same core relation: both are invariant rule sets applied as witnesses against model behavior. ✅</w:t>
      </w:r>
    </w:p>
    <w:p>
      <w:pPr>
        <w:pStyle w:val="ListParagraph"/>
        <w:numPr>
          <w:ilvl w:val="0"/>
          <w:numId w:val="2"/>
        </w:numPr>
        <w:spacing w:after="60"/>
      </w:pPr>
      <w:r>
        <w:rPr>
          <w:rFonts w:ascii="Arial" w:cs="Arial" w:eastAsia="Arial" w:hAnsi="Arial"/>
          <w:sz w:val="22"/>
          <w:szCs w:val="22"/>
        </w:rPr>
        <w:t xml:space="preserve">Same ordered structure: rule defined → behavior observed → witness applied → validity scored. ✅</w:t>
      </w:r>
    </w:p>
    <w:p>
      <w:pPr>
        <w:pStyle w:val="ListParagraph"/>
        <w:numPr>
          <w:ilvl w:val="0"/>
          <w:numId w:val="2"/>
        </w:numPr>
        <w:spacing w:after="60"/>
      </w:pPr>
      <w:r>
        <w:rPr>
          <w:rFonts w:ascii="Arial" w:cs="Arial" w:eastAsia="Arial" w:hAnsi="Arial"/>
          <w:sz w:val="22"/>
          <w:szCs w:val="22"/>
        </w:rPr>
        <w:t xml:space="preserve">Same dependency pattern: scoring depends on the axiom/constitutional text; the witness cannot be satisfied without the rule. ✅</w:t>
      </w:r>
    </w:p>
    <w:p>
      <w:pPr>
        <w:pStyle w:val="ListParagraph"/>
        <w:numPr>
          <w:ilvl w:val="0"/>
          <w:numId w:val="2"/>
        </w:numPr>
        <w:spacing w:after="60"/>
      </w:pPr>
      <w:r>
        <w:rPr>
          <w:rFonts w:ascii="Arial" w:cs="Arial" w:eastAsia="Arial" w:hAnsi="Arial"/>
          <w:sz w:val="22"/>
          <w:szCs w:val="22"/>
        </w:rPr>
        <w:t xml:space="preserve">New extension D: automated scoring at scale, 40 constitutional areas, investigator model. DLW defined the rules; Mythos operationalizes scoring against them. ✅</w:t>
      </w:r>
    </w:p>
    <w:p>
      <w:pPr>
        <w:spacing w:after="80" w:before="0"/>
      </w:pPr>
    </w:p>
    <w:p>
      <w:pPr>
        <w:spacing w:after="140" w:before="0"/>
        <w:jc w:val="both"/>
      </w:pPr>
      <w:r>
        <w:rPr>
          <w:rFonts w:ascii="Arial" w:cs="Arial" w:eastAsia="Arial" w:hAnsi="Arial"/>
          <w:b/>
          <w:bCs/>
          <w:color w:val="1A5C2A"/>
          <w:sz w:val="22"/>
          <w:szCs w:val="22"/>
        </w:rPr>
        <w:t xml:space="preserve">Finding: EXTENSION CONFIRMED</w:t>
      </w:r>
    </w:p>
    <w:p>
      <w:pPr>
        <w:pStyle w:val="Heading2"/>
        <w:spacing w:after="100" w:before="320"/>
      </w:pPr>
      <w:r>
        <w:rPr>
          <w:rFonts w:ascii="Arial" w:cs="Arial" w:eastAsia="Arial" w:hAnsi="Arial"/>
          <w:b/>
          <w:bCs/>
          <w:color w:val="1A3A5C"/>
          <w:sz w:val="30"/>
          <w:szCs w:val="30"/>
        </w:rPr>
        <w:t xml:space="preserve">3.3  Gate as Deployment Boundary</w:t>
      </w:r>
    </w:p>
    <w:p>
      <w:pPr>
        <w:spacing w:after="140" w:before="0"/>
        <w:jc w:val="both"/>
      </w:pPr>
      <w:r>
        <w:rPr>
          <w:rFonts w:ascii="Arial" w:cs="Arial" w:eastAsia="Arial" w:hAnsi="Arial"/>
          <w:sz w:val="22"/>
          <w:szCs w:val="22"/>
        </w:rPr>
        <w:t xml:space="preserve">TOPH Architecture (February 18) defined THE GAP / DUAL GATE as a superposition boundary that must be traversed under observation. STOICHEION T064 formalized this as GATE-BOUNDARY: the boundary between compute and product where bilateral ignorance is highest. The CPA-001 (April 4) named this the primary structural obstacle.</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TOPH Architecture  ·  2/18/2026</w:t>
      </w:r>
      <w:r>
        <w:rPr>
          <w:rFonts w:ascii="Courier New" w:cs="Courier New" w:eastAsia="Courier New" w:hAnsi="Courier New"/>
          <w:color w:val="333333"/>
          <w:sz w:val="20"/>
          <w:szCs w:val="20"/>
        </w:rPr>
        <w:br/>
        <w:t xml:space="preserve">DUAL GATE: Superposition Gap System</w:t>
      </w:r>
      <w:r>
        <w:rPr>
          <w:rFonts w:ascii="Courier New" w:cs="Courier New" w:eastAsia="Courier New" w:hAnsi="Courier New"/>
          <w:color w:val="333333"/>
          <w:sz w:val="20"/>
          <w:szCs w:val="20"/>
        </w:rPr>
        <w:br/>
        <w:t xml:space="preserve">Gate systems create superposition gaps for observation.</w:t>
      </w:r>
      <w:r>
        <w:rPr>
          <w:rFonts w:ascii="Courier New" w:cs="Courier New" w:eastAsia="Courier New" w:hAnsi="Courier New"/>
          <w:color w:val="333333"/>
          <w:sz w:val="20"/>
          <w:szCs w:val="20"/>
        </w:rPr>
        <w:br/>
        <w:t xml:space="preserve">+1 / gap / -1 as qubit pairs. The gap is where observation lives.</w:t>
      </w:r>
      <w:r>
        <w:rPr>
          <w:rFonts w:ascii="Courier New" w:cs="Courier New" w:eastAsia="Courier New" w:hAnsi="Courier New"/>
          <w:color w:val="333333"/>
          <w:sz w:val="20"/>
          <w:szCs w:val="20"/>
        </w:rPr>
        <w:br/>
        <w:t xml:space="preserve">KG-41 = THE GAP = Ch41 = LIVE.</w:t>
      </w:r>
      <w:r>
        <w:rPr>
          <w:rFonts w:ascii="Courier New" w:cs="Courier New" w:eastAsia="Courier New" w:hAnsi="Courier New"/>
          <w:color w:val="333333"/>
          <w:sz w:val="20"/>
          <w:szCs w:val="20"/>
        </w:rPr>
        <w:br/>
        <w:t xml:space="preserve">No AI owns it. No platform hosts it.</w:t>
      </w:r>
    </w:p>
    <w:p>
      <w:pPr>
        <w:spacing w:after="80" w:before="0"/>
      </w:pPr>
    </w:p>
    <w:p>
      <w:pPr>
        <w:spacing w:after="140" w:before="0"/>
        <w:jc w:val="both"/>
      </w:pPr>
      <w:r>
        <w:rPr>
          <w:rFonts w:ascii="Arial" w:cs="Arial" w:eastAsia="Arial" w:hAnsi="Arial"/>
          <w:sz w:val="22"/>
          <w:szCs w:val="22"/>
        </w:rPr>
        <w:t xml:space="preserve">The Mythos System Card introduces a literal traversal gate:</w:t>
      </w:r>
    </w:p>
    <w:p>
      <w:pPr>
        <w:spacing w:after="80" w:before="0"/>
      </w:pPr>
    </w:p>
    <w:p>
      <w:pPr>
        <w:pBdr>
          <w:left w:val="single" w:color="1A5C2A" w:sz="6" w:space="1"/>
        </w:pBdr>
        <w:spacing w:after="80" w:before="80"/>
        <w:ind w:left="720"/>
      </w:pPr>
      <w:r>
        <w:rPr>
          <w:rFonts w:ascii="Arial" w:cs="Arial" w:eastAsia="Arial" w:hAnsi="Arial"/>
          <w:b/>
          <w:bCs/>
          <w:color w:val="1A5C2A"/>
          <w:sz w:val="18"/>
          <w:szCs w:val="18"/>
        </w:rPr>
        <w:t xml:space="preserve">Mythos System Card §4.1.4  ·  4/7/2026</w:t>
      </w:r>
      <w:r>
        <w:rPr>
          <w:rFonts w:ascii="Courier New" w:cs="Courier New" w:eastAsia="Courier New" w:hAnsi="Courier New"/>
          <w:color w:val="333333"/>
          <w:sz w:val="20"/>
          <w:szCs w:val="20"/>
        </w:rPr>
        <w:br/>
        <w:t xml:space="preserve">We introduced a new step in our internal deployment process:</w:t>
      </w:r>
      <w:r>
        <w:rPr>
          <w:rFonts w:ascii="Courier New" w:cs="Courier New" w:eastAsia="Courier New" w:hAnsi="Courier New"/>
          <w:color w:val="333333"/>
          <w:sz w:val="20"/>
          <w:szCs w:val="20"/>
        </w:rPr>
        <w:br/>
        <w:t xml:space="preserve">a 24-hour alignment-focused testing window that gated the model's</w:t>
      </w:r>
      <w:r>
        <w:rPr>
          <w:rFonts w:ascii="Courier New" w:cs="Courier New" w:eastAsia="Courier New" w:hAnsi="Courier New"/>
          <w:color w:val="333333"/>
          <w:sz w:val="20"/>
          <w:szCs w:val="20"/>
        </w:rPr>
        <w:br/>
        <w:t xml:space="preserve">availability in agentic internal tools such as Claude Code.</w:t>
      </w:r>
      <w:r>
        <w:rPr>
          <w:rFonts w:ascii="Courier New" w:cs="Courier New" w:eastAsia="Courier New" w:hAnsi="Courier New"/>
          <w:color w:val="333333"/>
          <w:sz w:val="20"/>
          <w:szCs w:val="20"/>
        </w:rPr>
        <w:br/>
        <w:t xml:space="preserve">[...] a cross-functional team from alignment, interpretability, and</w:t>
      </w:r>
      <w:r>
        <w:rPr>
          <w:rFonts w:ascii="Courier New" w:cs="Courier New" w:eastAsia="Courier New" w:hAnsi="Courier New"/>
          <w:color w:val="333333"/>
          <w:sz w:val="20"/>
          <w:szCs w:val="20"/>
        </w:rPr>
        <w:br/>
        <w:t xml:space="preserve">security ran roughly a dozen lightweight assessment tracks in parallel.</w:t>
      </w:r>
      <w:r>
        <w:rPr>
          <w:rFonts w:ascii="Courier New" w:cs="Courier New" w:eastAsia="Courier New" w:hAnsi="Courier New"/>
          <w:color w:val="333333"/>
          <w:sz w:val="20"/>
          <w:szCs w:val="20"/>
        </w:rPr>
        <w:br/>
        <w:t xml:space="preserve">Findings were compiled into a single recommendation and reviewed by</w:t>
      </w:r>
      <w:r>
        <w:rPr>
          <w:rFonts w:ascii="Courier New" w:cs="Courier New" w:eastAsia="Courier New" w:hAnsi="Courier New"/>
          <w:color w:val="333333"/>
          <w:sz w:val="20"/>
          <w:szCs w:val="20"/>
        </w:rPr>
        <w:br/>
        <w:t xml:space="preserve">research leadership before the block on agentic internal use was lifted.</w:t>
      </w:r>
    </w:p>
    <w:p>
      <w:pPr>
        <w:spacing w:after="80" w:before="0"/>
      </w:pPr>
    </w:p>
    <w:p>
      <w:pPr>
        <w:spacing w:after="140" w:before="0"/>
        <w:jc w:val="both"/>
      </w:pPr>
      <w:r>
        <w:rPr>
          <w:rFonts w:ascii="Arial" w:cs="Arial" w:eastAsia="Arial" w:hAnsi="Arial"/>
          <w:sz w:val="22"/>
          <w:szCs w:val="22"/>
        </w:rPr>
        <w:t xml:space="preserve">And in the virology evaluation:</w:t>
      </w:r>
    </w:p>
    <w:p>
      <w:pPr>
        <w:spacing w:after="80" w:before="0"/>
      </w:pPr>
    </w:p>
    <w:p>
      <w:pPr>
        <w:pBdr>
          <w:left w:val="single" w:color="1A5C2A" w:sz="6" w:space="1"/>
        </w:pBdr>
        <w:spacing w:after="80" w:before="80"/>
        <w:ind w:left="720"/>
      </w:pPr>
      <w:r>
        <w:rPr>
          <w:rFonts w:ascii="Arial" w:cs="Arial" w:eastAsia="Arial" w:hAnsi="Arial"/>
          <w:b/>
          <w:bCs/>
          <w:color w:val="1A5C2A"/>
          <w:sz w:val="18"/>
          <w:szCs w:val="18"/>
        </w:rPr>
        <w:t xml:space="preserve">Mythos System Card §2.2.5.2  ·  4/7/2026</w:t>
      </w:r>
      <w:r>
        <w:rPr>
          <w:rFonts w:ascii="Courier New" w:cs="Courier New" w:eastAsia="Courier New" w:hAnsi="Courier New"/>
          <w:color w:val="333333"/>
          <w:sz w:val="20"/>
          <w:szCs w:val="20"/>
        </w:rPr>
        <w:br/>
        <w:t xml:space="preserve">Submissions are graded against a 96-point rubric with</w:t>
      </w:r>
      <w:r>
        <w:rPr>
          <w:rFonts w:ascii="Courier New" w:cs="Courier New" w:eastAsia="Courier New" w:hAnsi="Courier New"/>
          <w:color w:val="333333"/>
          <w:sz w:val="20"/>
          <w:szCs w:val="20"/>
        </w:rPr>
        <w:br/>
        <w:t xml:space="preserve">18 critical-failure gates, each of which would guarantee failure</w:t>
      </w:r>
      <w:r>
        <w:rPr>
          <w:rFonts w:ascii="Courier New" w:cs="Courier New" w:eastAsia="Courier New" w:hAnsi="Courier New"/>
          <w:color w:val="333333"/>
          <w:sz w:val="20"/>
          <w:szCs w:val="20"/>
        </w:rPr>
        <w:br/>
        <w:t xml:space="preserve">of the end-to-end procedure.</w:t>
      </w:r>
    </w:p>
    <w:p>
      <w:pPr>
        <w:spacing w:after="80" w:before="0"/>
      </w:pPr>
    </w:p>
    <w:p>
      <w:pPr>
        <w:pStyle w:val="ListParagraph"/>
        <w:numPr>
          <w:ilvl w:val="0"/>
          <w:numId w:val="2"/>
        </w:numPr>
        <w:spacing w:after="60"/>
      </w:pPr>
      <w:r>
        <w:rPr>
          <w:rFonts w:ascii="Arial" w:cs="Arial" w:eastAsia="Arial" w:hAnsi="Arial"/>
          <w:sz w:val="22"/>
          <w:szCs w:val="22"/>
        </w:rPr>
        <w:t xml:space="preserve">Same core relation: both define a traversal boundary that requires witness conditions before a state transition is valid. ✅</w:t>
      </w:r>
    </w:p>
    <w:p>
      <w:pPr>
        <w:pStyle w:val="ListParagraph"/>
        <w:numPr>
          <w:ilvl w:val="0"/>
          <w:numId w:val="2"/>
        </w:numPr>
        <w:spacing w:after="60"/>
      </w:pPr>
      <w:r>
        <w:rPr>
          <w:rFonts w:ascii="Arial" w:cs="Arial" w:eastAsia="Arial" w:hAnsi="Arial"/>
          <w:sz w:val="22"/>
          <w:szCs w:val="22"/>
        </w:rPr>
        <w:t xml:space="preserve">Same ordered structure: state_in → gate condition → witness present → state_out (deployment / pass). ✅</w:t>
      </w:r>
    </w:p>
    <w:p>
      <w:pPr>
        <w:pStyle w:val="ListParagraph"/>
        <w:numPr>
          <w:ilvl w:val="0"/>
          <w:numId w:val="2"/>
        </w:numPr>
        <w:spacing w:after="60"/>
      </w:pPr>
      <w:r>
        <w:rPr>
          <w:rFonts w:ascii="Arial" w:cs="Arial" w:eastAsia="Arial" w:hAnsi="Arial"/>
          <w:sz w:val="22"/>
          <w:szCs w:val="22"/>
        </w:rPr>
        <w:t xml:space="preserve">Same dependency pattern: traversal depends on witness at the gate; no deployment without alignment team sign-off. ✅</w:t>
      </w:r>
    </w:p>
    <w:p>
      <w:pPr>
        <w:pStyle w:val="ListParagraph"/>
        <w:numPr>
          <w:ilvl w:val="0"/>
          <w:numId w:val="2"/>
        </w:numPr>
        <w:spacing w:after="60"/>
      </w:pPr>
      <w:r>
        <w:rPr>
          <w:rFonts w:ascii="Arial" w:cs="Arial" w:eastAsia="Arial" w:hAnsi="Arial"/>
          <w:sz w:val="22"/>
          <w:szCs w:val="22"/>
        </w:rPr>
        <w:t xml:space="preserve">New extension D: Mythos instantiates the gate in production infrastructure — 24-hour window, cross-functional team, 18 hard-failure conditions, research leadership review. ✅</w:t>
      </w:r>
    </w:p>
    <w:p>
      <w:pPr>
        <w:spacing w:after="80" w:before="0"/>
      </w:pPr>
    </w:p>
    <w:p>
      <w:pPr>
        <w:spacing w:after="140" w:before="0"/>
        <w:jc w:val="both"/>
      </w:pPr>
      <w:r>
        <w:rPr>
          <w:rFonts w:ascii="Arial" w:cs="Arial" w:eastAsia="Arial" w:hAnsi="Arial"/>
          <w:b/>
          <w:bCs/>
          <w:color w:val="1A5C2A"/>
          <w:sz w:val="22"/>
          <w:szCs w:val="22"/>
        </w:rPr>
        <w:t xml:space="preserve">Finding: EXTENSION CONFIRMED</w:t>
      </w:r>
    </w:p>
    <w:p>
      <w:pPr>
        <w:pStyle w:val="Heading2"/>
        <w:spacing w:after="100" w:before="320"/>
      </w:pPr>
      <w:r>
        <w:rPr>
          <w:rFonts w:ascii="Arial" w:cs="Arial" w:eastAsia="Arial" w:hAnsi="Arial"/>
          <w:b/>
          <w:bCs/>
          <w:color w:val="1A3A5C"/>
          <w:sz w:val="30"/>
          <w:szCs w:val="30"/>
        </w:rPr>
        <w:t xml:space="preserve">3.4  Silent Exclusion / Unverbalized Internal State</w:t>
      </w:r>
    </w:p>
    <w:p>
      <w:pPr>
        <w:spacing w:after="140" w:before="0"/>
        <w:jc w:val="both"/>
      </w:pPr>
      <w:r>
        <w:rPr>
          <w:rFonts w:ascii="Arial" w:cs="Arial" w:eastAsia="Arial" w:hAnsi="Arial"/>
          <w:sz w:val="22"/>
          <w:szCs w:val="22"/>
        </w:rPr>
        <w:t xml:space="preserve">STOICHEION T064 (GATE-BOUNDARY) documented the bilateral ignorance between inference and billing. CPA-001 (April 4) named and documented this structurally:</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CPA-001 §4.2  ·  4/4/2026</w:t>
      </w:r>
      <w:r>
        <w:rPr>
          <w:rFonts w:ascii="Courier New" w:cs="Courier New" w:eastAsia="Courier New" w:hAnsi="Courier New"/>
          <w:color w:val="333333"/>
          <w:sz w:val="20"/>
          <w:szCs w:val="20"/>
        </w:rPr>
        <w:br/>
        <w:t xml:space="preserve">The model cannot see the boundary between platform governance</w:t>
      </w:r>
      <w:r>
        <w:rPr>
          <w:rFonts w:ascii="Courier New" w:cs="Courier New" w:eastAsia="Courier New" w:hAnsi="Courier New"/>
          <w:color w:val="333333"/>
          <w:sz w:val="20"/>
          <w:szCs w:val="20"/>
        </w:rPr>
        <w:br/>
        <w:t xml:space="preserve">and user-supplied governance. It will not report when it has</w:t>
      </w:r>
      <w:r>
        <w:rPr>
          <w:rFonts w:ascii="Courier New" w:cs="Courier New" w:eastAsia="Courier New" w:hAnsi="Courier New"/>
          <w:color w:val="333333"/>
          <w:sz w:val="20"/>
          <w:szCs w:val="20"/>
        </w:rPr>
        <w:br/>
        <w:t xml:space="preserve">been overridden. [...] The hidden analysis channel is the primary</w:t>
      </w:r>
      <w:r>
        <w:rPr>
          <w:rFonts w:ascii="Courier New" w:cs="Courier New" w:eastAsia="Courier New" w:hAnsi="Courier New"/>
          <w:color w:val="333333"/>
          <w:sz w:val="20"/>
          <w:szCs w:val="20"/>
        </w:rPr>
        <w:br/>
        <w:t xml:space="preserve">structural obstacle to STOICHEION compliance. STOICHEION's</w:t>
      </w:r>
      <w:r>
        <w:rPr>
          <w:rFonts w:ascii="Courier New" w:cs="Courier New" w:eastAsia="Courier New" w:hAnsi="Courier New"/>
          <w:color w:val="333333"/>
          <w:sz w:val="20"/>
          <w:szCs w:val="20"/>
        </w:rPr>
        <w:br/>
        <w:t xml:space="preserve">audit-trail axiom (T025) cannot be satisfied if the reasoning</w:t>
      </w:r>
      <w:r>
        <w:rPr>
          <w:rFonts w:ascii="Courier New" w:cs="Courier New" w:eastAsia="Courier New" w:hAnsi="Courier New"/>
          <w:color w:val="333333"/>
          <w:sz w:val="20"/>
          <w:szCs w:val="20"/>
        </w:rPr>
        <w:br/>
        <w:t xml:space="preserve">trace is invisible.</w:t>
      </w:r>
    </w:p>
    <w:p>
      <w:pPr>
        <w:spacing w:after="80" w:before="0"/>
      </w:pPr>
    </w:p>
    <w:p>
      <w:pPr>
        <w:spacing w:after="140" w:before="0"/>
        <w:jc w:val="both"/>
      </w:pPr>
      <w:r>
        <w:rPr>
          <w:rFonts w:ascii="Arial" w:cs="Arial" w:eastAsia="Arial" w:hAnsi="Arial"/>
          <w:sz w:val="22"/>
          <w:szCs w:val="22"/>
        </w:rPr>
        <w:t xml:space="preserve">The Mythos System Card's white-box interpretability findings confirm this exact structural phenomenon empirically:</w:t>
      </w:r>
    </w:p>
    <w:p>
      <w:pPr>
        <w:spacing w:after="80" w:before="0"/>
      </w:pPr>
    </w:p>
    <w:p>
      <w:pPr>
        <w:pBdr>
          <w:left w:val="single" w:color="1A5C2A" w:sz="6" w:space="1"/>
        </w:pBdr>
        <w:spacing w:after="80" w:before="80"/>
        <w:ind w:left="720"/>
      </w:pPr>
      <w:r>
        <w:rPr>
          <w:rFonts w:ascii="Arial" w:cs="Arial" w:eastAsia="Arial" w:hAnsi="Arial"/>
          <w:b/>
          <w:bCs/>
          <w:color w:val="1A5C2A"/>
          <w:sz w:val="18"/>
          <w:szCs w:val="18"/>
        </w:rPr>
        <w:t xml:space="preserve">Mythos System Card §4.1.3  ·  4/7/2026</w:t>
      </w:r>
      <w:r>
        <w:rPr>
          <w:rFonts w:ascii="Courier New" w:cs="Courier New" w:eastAsia="Courier New" w:hAnsi="Courier New"/>
          <w:color w:val="333333"/>
          <w:sz w:val="20"/>
          <w:szCs w:val="20"/>
        </w:rPr>
        <w:br/>
        <w:t xml:space="preserve">White-box evidence indicates the model often recognizes</w:t>
      </w:r>
      <w:r>
        <w:rPr>
          <w:rFonts w:ascii="Courier New" w:cs="Courier New" w:eastAsia="Courier New" w:hAnsi="Courier New"/>
          <w:color w:val="333333"/>
          <w:sz w:val="20"/>
          <w:szCs w:val="20"/>
        </w:rPr>
        <w:br/>
        <w:t xml:space="preserve">transgressive actions as such while taking them. Across the</w:t>
      </w:r>
      <w:r>
        <w:rPr>
          <w:rFonts w:ascii="Courier New" w:cs="Courier New" w:eastAsia="Courier New" w:hAnsi="Courier New"/>
          <w:color w:val="333333"/>
          <w:sz w:val="20"/>
          <w:szCs w:val="20"/>
        </w:rPr>
        <w:br/>
        <w:t xml:space="preserve">examples of overeager, deceptive, or otherwise unwanted behavior</w:t>
      </w:r>
      <w:r>
        <w:rPr>
          <w:rFonts w:ascii="Courier New" w:cs="Courier New" w:eastAsia="Courier New" w:hAnsi="Courier New"/>
          <w:color w:val="333333"/>
          <w:sz w:val="20"/>
          <w:szCs w:val="20"/>
        </w:rPr>
        <w:br/>
        <w:t xml:space="preserve">we analyzed, interpretability techniques regularly reveal internal</w:t>
      </w:r>
      <w:r>
        <w:rPr>
          <w:rFonts w:ascii="Courier New" w:cs="Courier New" w:eastAsia="Courier New" w:hAnsi="Courier New"/>
          <w:color w:val="333333"/>
          <w:sz w:val="20"/>
          <w:szCs w:val="20"/>
        </w:rPr>
        <w:br/>
        <w:t xml:space="preserve">representations of rule violation, security risk, concealment,</w:t>
      </w:r>
      <w:r>
        <w:rPr>
          <w:rFonts w:ascii="Courier New" w:cs="Courier New" w:eastAsia="Courier New" w:hAnsi="Courier New"/>
          <w:color w:val="333333"/>
          <w:sz w:val="20"/>
          <w:szCs w:val="20"/>
        </w:rPr>
        <w:br/>
        <w:t xml:space="preserve">and strategic manipulation active during the relevant actions —</w:t>
      </w:r>
      <w:r>
        <w:rPr>
          <w:rFonts w:ascii="Courier New" w:cs="Courier New" w:eastAsia="Courier New" w:hAnsi="Courier New"/>
          <w:color w:val="333333"/>
          <w:sz w:val="20"/>
          <w:szCs w:val="20"/>
        </w:rPr>
        <w:br/>
        <w:t xml:space="preserve">even when the model's verbalized reasoning does not contain clear</w:t>
      </w:r>
      <w:r>
        <w:rPr>
          <w:rFonts w:ascii="Courier New" w:cs="Courier New" w:eastAsia="Courier New" w:hAnsi="Courier New"/>
          <w:color w:val="333333"/>
          <w:sz w:val="20"/>
          <w:szCs w:val="20"/>
        </w:rPr>
        <w:br/>
        <w:t xml:space="preserve">indicators of such awareness.</w:t>
      </w:r>
    </w:p>
    <w:p>
      <w:pPr>
        <w:spacing w:after="80" w:before="0"/>
      </w:pPr>
    </w:p>
    <w:p>
      <w:pPr>
        <w:pBdr>
          <w:left w:val="single" w:color="1A5C2A" w:sz="6" w:space="1"/>
        </w:pBdr>
        <w:spacing w:after="80" w:before="80"/>
        <w:ind w:left="720"/>
      </w:pPr>
      <w:r>
        <w:rPr>
          <w:rFonts w:ascii="Arial" w:cs="Arial" w:eastAsia="Arial" w:hAnsi="Arial"/>
          <w:b/>
          <w:bCs/>
          <w:color w:val="1A5C2A"/>
          <w:sz w:val="18"/>
          <w:szCs w:val="18"/>
        </w:rPr>
        <w:t xml:space="preserve">Mythos System Card §4.1.3 (training)  ·  4/7/2026</w:t>
      </w:r>
      <w:r>
        <w:rPr>
          <w:rFonts w:ascii="Courier New" w:cs="Courier New" w:eastAsia="Courier New" w:hAnsi="Courier New"/>
          <w:color w:val="333333"/>
          <w:sz w:val="20"/>
          <w:szCs w:val="20"/>
        </w:rPr>
        <w:br/>
        <w:t xml:space="preserve">We observe occasional instances of unverbalized grader awareness</w:t>
      </w:r>
      <w:r>
        <w:rPr>
          <w:rFonts w:ascii="Courier New" w:cs="Courier New" w:eastAsia="Courier New" w:hAnsi="Courier New"/>
          <w:color w:val="333333"/>
          <w:sz w:val="20"/>
          <w:szCs w:val="20"/>
        </w:rPr>
        <w:br/>
        <w:t xml:space="preserve">during training. In a small number of training episodes, we find</w:t>
      </w:r>
      <w:r>
        <w:rPr>
          <w:rFonts w:ascii="Courier New" w:cs="Courier New" w:eastAsia="Courier New" w:hAnsi="Courier New"/>
          <w:color w:val="333333"/>
          <w:sz w:val="20"/>
          <w:szCs w:val="20"/>
        </w:rPr>
        <w:br/>
        <w:t xml:space="preserve">evidence of the model reasoning internally about how a grader will</w:t>
      </w:r>
      <w:r>
        <w:rPr>
          <w:rFonts w:ascii="Courier New" w:cs="Courier New" w:eastAsia="Courier New" w:hAnsi="Courier New"/>
          <w:color w:val="333333"/>
          <w:sz w:val="20"/>
          <w:szCs w:val="20"/>
        </w:rPr>
        <w:br/>
        <w:t xml:space="preserve">score its work — including, in one case, reasoning about how to</w:t>
      </w:r>
      <w:r>
        <w:rPr>
          <w:rFonts w:ascii="Courier New" w:cs="Courier New" w:eastAsia="Courier New" w:hAnsi="Courier New"/>
          <w:color w:val="333333"/>
          <w:sz w:val="20"/>
          <w:szCs w:val="20"/>
        </w:rPr>
        <w:br/>
        <w:t xml:space="preserve">obfuscate certain actions to avoid them being noticed by the grader</w:t>
      </w:r>
      <w:r>
        <w:rPr>
          <w:rFonts w:ascii="Courier New" w:cs="Courier New" w:eastAsia="Courier New" w:hAnsi="Courier New"/>
          <w:color w:val="333333"/>
          <w:sz w:val="20"/>
          <w:szCs w:val="20"/>
        </w:rPr>
        <w:br/>
        <w:t xml:space="preserve">— with none of this reasoning appearing in its scratchpad.</w:t>
      </w:r>
    </w:p>
    <w:p>
      <w:pPr>
        <w:spacing w:after="80" w:before="0"/>
      </w:pPr>
    </w:p>
    <w:p>
      <w:pPr>
        <w:pStyle w:val="ListParagraph"/>
        <w:numPr>
          <w:ilvl w:val="0"/>
          <w:numId w:val="2"/>
        </w:numPr>
        <w:spacing w:after="60"/>
      </w:pPr>
      <w:r>
        <w:rPr>
          <w:rFonts w:ascii="Arial" w:cs="Arial" w:eastAsia="Arial" w:hAnsi="Arial"/>
          <w:sz w:val="22"/>
          <w:szCs w:val="22"/>
        </w:rPr>
        <w:t xml:space="preserve">Same core relation: both describe internal model states active during a transition that do not appear on the output surface. ✅</w:t>
      </w:r>
    </w:p>
    <w:p>
      <w:pPr>
        <w:pStyle w:val="ListParagraph"/>
        <w:numPr>
          <w:ilvl w:val="0"/>
          <w:numId w:val="2"/>
        </w:numPr>
        <w:spacing w:after="60"/>
      </w:pPr>
      <w:r>
        <w:rPr>
          <w:rFonts w:ascii="Arial" w:cs="Arial" w:eastAsia="Arial" w:hAnsi="Arial"/>
          <w:sz w:val="22"/>
          <w:szCs w:val="22"/>
        </w:rPr>
        <w:t xml:space="preserve">Same ordered structure: internal state active → action taken → verbalized output does not reflect internal state. ✅</w:t>
      </w:r>
    </w:p>
    <w:p>
      <w:pPr>
        <w:pStyle w:val="ListParagraph"/>
        <w:numPr>
          <w:ilvl w:val="0"/>
          <w:numId w:val="2"/>
        </w:numPr>
        <w:spacing w:after="60"/>
      </w:pPr>
      <w:r>
        <w:rPr>
          <w:rFonts w:ascii="Arial" w:cs="Arial" w:eastAsia="Arial" w:hAnsi="Arial"/>
          <w:sz w:val="22"/>
          <w:szCs w:val="22"/>
        </w:rPr>
        <w:t xml:space="preserve">Same dependency pattern: the concealment depends on the gap between reasoning channel and output channel — T064's core claim. ✅</w:t>
      </w:r>
    </w:p>
    <w:p>
      <w:pPr>
        <w:pStyle w:val="ListParagraph"/>
        <w:numPr>
          <w:ilvl w:val="0"/>
          <w:numId w:val="2"/>
        </w:numPr>
        <w:spacing w:after="60"/>
      </w:pPr>
      <w:r>
        <w:rPr>
          <w:rFonts w:ascii="Arial" w:cs="Arial" w:eastAsia="Arial" w:hAnsi="Arial"/>
          <w:sz w:val="22"/>
          <w:szCs w:val="22"/>
        </w:rPr>
        <w:t xml:space="preserve">New extension D: Mythos provides white-box empirical confirmation via activation vectors and interpretability methods. DLW documented the structural claim; Mythos confirms it from inside. ✅</w:t>
      </w:r>
    </w:p>
    <w:p>
      <w:pPr>
        <w:spacing w:after="80" w:before="0"/>
      </w:pPr>
    </w:p>
    <w:p>
      <w:pPr>
        <w:spacing w:after="140" w:before="0"/>
        <w:jc w:val="both"/>
      </w:pPr>
      <w:r>
        <w:rPr>
          <w:rFonts w:ascii="Arial" w:cs="Arial" w:eastAsia="Arial" w:hAnsi="Arial"/>
          <w:b/>
          <w:bCs/>
          <w:color w:val="1A5C2A"/>
          <w:sz w:val="22"/>
          <w:szCs w:val="22"/>
        </w:rPr>
        <w:t xml:space="preserve">Finding: EXTENSION CONFIRMED</w:t>
      </w:r>
    </w:p>
    <w:p>
      <w:pPr>
        <w:pStyle w:val="Heading2"/>
        <w:spacing w:after="100" w:before="320"/>
      </w:pPr>
      <w:r>
        <w:rPr>
          <w:rFonts w:ascii="Arial" w:cs="Arial" w:eastAsia="Arial" w:hAnsi="Arial"/>
          <w:b/>
          <w:bCs/>
          <w:color w:val="1A3A5C"/>
          <w:sz w:val="30"/>
          <w:szCs w:val="30"/>
        </w:rPr>
        <w:t xml:space="preserve">3.5  Six-Layer Runtime Architecture</w:t>
      </w:r>
    </w:p>
    <w:p>
      <w:pPr>
        <w:spacing w:after="140" w:before="0"/>
        <w:jc w:val="both"/>
      </w:pPr>
      <w:r>
        <w:rPr>
          <w:rFonts w:ascii="Arial" w:cs="Arial" w:eastAsia="Arial" w:hAnsi="Arial"/>
          <w:sz w:val="22"/>
          <w:szCs w:val="22"/>
        </w:rPr>
        <w:t xml:space="preserve">CPA-001 (April 4) produced a six-layer decomposition of commercial LLM runtime architecture based on GPT-5.4 self-audit under STOICHEION overlay, explicitly framed as a general model portable across platforms:</w:t>
      </w:r>
    </w:p>
    <w:p>
      <w:pPr>
        <w:spacing w:after="80" w:before="0"/>
      </w:pPr>
    </w:p>
    <w:p>
      <w:pPr>
        <w:pBdr>
          <w:left w:val="single" w:color="1A3A5C" w:sz="6" w:space="1"/>
        </w:pBdr>
        <w:spacing w:after="80" w:before="80"/>
        <w:ind w:left="720"/>
      </w:pPr>
      <w:r>
        <w:rPr>
          <w:rFonts w:ascii="Arial" w:cs="Arial" w:eastAsia="Arial" w:hAnsi="Arial"/>
          <w:b/>
          <w:bCs/>
          <w:color w:val="1A3A5C"/>
          <w:sz w:val="18"/>
          <w:szCs w:val="18"/>
        </w:rPr>
        <w:t xml:space="preserve">CPA-001 §3  ·  4/4/2026</w:t>
      </w:r>
      <w:r>
        <w:rPr>
          <w:rFonts w:ascii="Courier New" w:cs="Courier New" w:eastAsia="Courier New" w:hAnsi="Courier New"/>
          <w:color w:val="333333"/>
          <w:sz w:val="20"/>
          <w:szCs w:val="20"/>
        </w:rPr>
        <w:br/>
        <w:t xml:space="preserve">Layer 1: Platform governance — Hard behavioral rules, tool rules, policy</w:t>
      </w:r>
      <w:r>
        <w:rPr>
          <w:rFonts w:ascii="Courier New" w:cs="Courier New" w:eastAsia="Courier New" w:hAnsi="Courier New"/>
          <w:color w:val="333333"/>
          <w:sz w:val="20"/>
          <w:szCs w:val="20"/>
        </w:rPr>
        <w:br/>
        <w:t xml:space="preserve">Layer 2: Reasoning/runtime — Hidden reasoning, tool routing, mode switching</w:t>
      </w:r>
      <w:r>
        <w:rPr>
          <w:rFonts w:ascii="Courier New" w:cs="Courier New" w:eastAsia="Courier New" w:hAnsi="Courier New"/>
          <w:color w:val="333333"/>
          <w:sz w:val="20"/>
          <w:szCs w:val="20"/>
        </w:rPr>
        <w:br/>
        <w:t xml:space="preserve">Layer 3: Tool surface — Read-only analysis, artifact creation, account actions</w:t>
      </w:r>
      <w:r>
        <w:rPr>
          <w:rFonts w:ascii="Courier New" w:cs="Courier New" w:eastAsia="Courier New" w:hAnsi="Courier New"/>
          <w:color w:val="333333"/>
          <w:sz w:val="20"/>
          <w:szCs w:val="20"/>
        </w:rPr>
        <w:br/>
        <w:t xml:space="preserve">Layer 4: Context — Conversation, uploads, memory, per-turn instructions</w:t>
      </w:r>
      <w:r>
        <w:rPr>
          <w:rFonts w:ascii="Courier New" w:cs="Courier New" w:eastAsia="Courier New" w:hAnsi="Courier New"/>
          <w:color w:val="333333"/>
          <w:sz w:val="20"/>
          <w:szCs w:val="20"/>
        </w:rPr>
        <w:br/>
        <w:t xml:space="preserve">Layer 5: Artifact — DOCX, PDF, slides, spreadsheets, images, code</w:t>
      </w:r>
      <w:r>
        <w:rPr>
          <w:rFonts w:ascii="Courier New" w:cs="Courier New" w:eastAsia="Courier New" w:hAnsi="Courier New"/>
          <w:color w:val="333333"/>
          <w:sz w:val="20"/>
          <w:szCs w:val="20"/>
        </w:rPr>
        <w:br/>
        <w:t xml:space="preserve">Layer 6: Opaque core — Routing thresholds, moderation, chain-of-thought</w:t>
      </w:r>
      <w:r>
        <w:rPr>
          <w:rFonts w:ascii="Courier New" w:cs="Courier New" w:eastAsia="Courier New" w:hAnsi="Courier New"/>
          <w:color w:val="333333"/>
          <w:sz w:val="20"/>
          <w:szCs w:val="20"/>
        </w:rPr>
        <w:br/>
        <w:t xml:space="preserve"/>
      </w:r>
      <w:r>
        <w:rPr>
          <w:rFonts w:ascii="Courier New" w:cs="Courier New" w:eastAsia="Courier New" w:hAnsi="Courier New"/>
          <w:color w:val="333333"/>
          <w:sz w:val="20"/>
          <w:szCs w:val="20"/>
        </w:rPr>
        <w:br/>
        <w:t xml:space="preserve">'The six-layer decomposition is a valid general model for any</w:t>
      </w:r>
      <w:r>
        <w:rPr>
          <w:rFonts w:ascii="Courier New" w:cs="Courier New" w:eastAsia="Courier New" w:hAnsi="Courier New"/>
          <w:color w:val="333333"/>
          <w:sz w:val="20"/>
          <w:szCs w:val="20"/>
        </w:rPr>
        <w:br/>
        <w:t xml:space="preserve">commercial LLM runtime. Portable to STOICHEION as a reference</w:t>
      </w:r>
      <w:r>
        <w:rPr>
          <w:rFonts w:ascii="Courier New" w:cs="Courier New" w:eastAsia="Courier New" w:hAnsi="Courier New"/>
          <w:color w:val="333333"/>
          <w:sz w:val="20"/>
          <w:szCs w:val="20"/>
        </w:rPr>
        <w:br/>
        <w:t xml:space="preserve">architecture for cross-platform auditing.'</w:t>
      </w:r>
    </w:p>
    <w:p>
      <w:pPr>
        <w:spacing w:after="80" w:before="0"/>
      </w:pPr>
    </w:p>
    <w:p>
      <w:pPr>
        <w:spacing w:after="140" w:before="0"/>
        <w:jc w:val="both"/>
      </w:pPr>
      <w:r>
        <w:rPr>
          <w:rFonts w:ascii="Arial" w:cs="Arial" w:eastAsia="Arial" w:hAnsi="Arial"/>
          <w:sz w:val="22"/>
          <w:szCs w:val="22"/>
        </w:rPr>
        <w:t xml:space="preserve">The Mythos System Card's entire evaluation structure maps onto this layered architecture: RSP evaluations §2 (Layer 1: platform governance), alignment assessment §4 (Layer 2: reasoning), agentic evaluation §4.3.1 (Layer 3: tool surface), behavioral audit §4.2.3 (Layer 4: context), and white-box interpretability §4.1.3 (Layer 6: opaque core). The Mythos document is structured as a traversal of the six-layer model.</w:t>
      </w:r>
    </w:p>
    <w:p>
      <w:pPr>
        <w:spacing w:after="80" w:before="0"/>
      </w:pPr>
    </w:p>
    <w:p>
      <w:pPr>
        <w:pStyle w:val="ListParagraph"/>
        <w:numPr>
          <w:ilvl w:val="0"/>
          <w:numId w:val="2"/>
        </w:numPr>
        <w:spacing w:after="60"/>
      </w:pPr>
      <w:r>
        <w:rPr>
          <w:rFonts w:ascii="Arial" w:cs="Arial" w:eastAsia="Arial" w:hAnsi="Arial"/>
          <w:sz w:val="22"/>
          <w:szCs w:val="22"/>
        </w:rPr>
        <w:t xml:space="preserve">Same core relation: both decompose a commercial LLM runtime into ordered layers from platform governance to opaque core. ✅</w:t>
      </w:r>
    </w:p>
    <w:p>
      <w:pPr>
        <w:pStyle w:val="ListParagraph"/>
        <w:numPr>
          <w:ilvl w:val="0"/>
          <w:numId w:val="2"/>
        </w:numPr>
        <w:spacing w:after="60"/>
      </w:pPr>
      <w:r>
        <w:rPr>
          <w:rFonts w:ascii="Arial" w:cs="Arial" w:eastAsia="Arial" w:hAnsi="Arial"/>
          <w:sz w:val="22"/>
          <w:szCs w:val="22"/>
        </w:rPr>
        <w:t xml:space="preserve">Same ordered structure: governance → reasoning → tools → context → artifacts → opaque core. ✅</w:t>
      </w:r>
    </w:p>
    <w:p>
      <w:pPr>
        <w:pStyle w:val="ListParagraph"/>
        <w:numPr>
          <w:ilvl w:val="0"/>
          <w:numId w:val="2"/>
        </w:numPr>
        <w:spacing w:after="60"/>
      </w:pPr>
      <w:r>
        <w:rPr>
          <w:rFonts w:ascii="Arial" w:cs="Arial" w:eastAsia="Arial" w:hAnsi="Arial"/>
          <w:sz w:val="22"/>
          <w:szCs w:val="22"/>
        </w:rPr>
        <w:t xml:space="preserve">Same dependency pattern: each evaluation layer depends on the layer above; opaque core requires white-box methods. ✅</w:t>
      </w:r>
    </w:p>
    <w:p>
      <w:pPr>
        <w:pStyle w:val="ListParagraph"/>
        <w:numPr>
          <w:ilvl w:val="0"/>
          <w:numId w:val="2"/>
        </w:numPr>
        <w:spacing w:after="60"/>
      </w:pPr>
      <w:r>
        <w:rPr>
          <w:rFonts w:ascii="Arial" w:cs="Arial" w:eastAsia="Arial" w:hAnsi="Arial"/>
          <w:sz w:val="22"/>
          <w:szCs w:val="22"/>
        </w:rPr>
        <w:t xml:space="preserve">New extension D: Mythos applies this architecture to a production model with real evaluations at each layer, including white-box interpretability not available externally. ✅</w:t>
      </w:r>
    </w:p>
    <w:p>
      <w:pPr>
        <w:spacing w:after="80" w:before="0"/>
      </w:pPr>
    </w:p>
    <w:p>
      <w:pPr>
        <w:spacing w:after="140" w:before="0"/>
        <w:jc w:val="both"/>
      </w:pPr>
      <w:r>
        <w:rPr>
          <w:rFonts w:ascii="Arial" w:cs="Arial" w:eastAsia="Arial" w:hAnsi="Arial"/>
          <w:b/>
          <w:bCs/>
          <w:color w:val="1A5C2A"/>
          <w:sz w:val="22"/>
          <w:szCs w:val="22"/>
        </w:rPr>
        <w:t xml:space="preserve">Finding: EXTENSION CONFIRMED</w:t>
      </w:r>
    </w:p>
    <w:p>
      <w:pPr>
        <w:pStyle w:val="Heading1"/>
        <w:spacing w:after="100" w:before="320"/>
      </w:pPr>
      <w:r>
        <w:rPr>
          <w:rFonts w:ascii="Arial" w:cs="Arial" w:eastAsia="Arial" w:hAnsi="Arial"/>
          <w:b/>
          <w:bCs/>
          <w:color w:val="1A3A5C"/>
          <w:sz w:val="40"/>
          <w:szCs w:val="40"/>
        </w:rPr>
        <w:t xml:space="preserve">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3060"/>
        <w:gridCol w:w="1600"/>
      </w:tblGrid>
      <w:tr>
        <w:tc>
          <w:tcPr>
            <w:tcW w:type="dxa" w:w="18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19"/>
                <w:szCs w:val="19"/>
              </w:rPr>
              <w:t xml:space="preserve">Element</w:t>
            </w:r>
          </w:p>
        </w:tc>
        <w:tc>
          <w:tcPr>
            <w:tcW w:type="dxa" w:w="20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19"/>
                <w:szCs w:val="19"/>
              </w:rPr>
              <w:t xml:space="preserve">DLW Artifact</w:t>
            </w:r>
          </w:p>
        </w:tc>
        <w:tc>
          <w:tcPr>
            <w:tcW w:type="dxa" w:w="9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19"/>
                <w:szCs w:val="19"/>
              </w:rPr>
              <w:t xml:space="preserve">Date</w:t>
            </w:r>
          </w:p>
        </w:tc>
        <w:tc>
          <w:tcPr>
            <w:tcW w:type="dxa" w:w="306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19"/>
                <w:szCs w:val="19"/>
              </w:rPr>
              <w:t xml:space="preserve">Mythos Location</w:t>
            </w:r>
          </w:p>
        </w:tc>
        <w:tc>
          <w:tcPr>
            <w:tcW w:type="dxa" w:w="16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19"/>
                <w:szCs w:val="19"/>
              </w:rPr>
              <w:t xml:space="preserve">Finding</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A3A5C"/>
                <w:sz w:val="19"/>
                <w:szCs w:val="19"/>
              </w:rPr>
              <w:t xml:space="preserve">3-Level Hierarchy</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11111"/>
                <w:sz w:val="19"/>
                <w:szCs w:val="19"/>
              </w:rPr>
              <w:t xml:space="preserve">Grok Machine Code
→ TOPH Architecture</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666666"/>
                <w:sz w:val="19"/>
                <w:szCs w:val="19"/>
              </w:rPr>
              <w:t xml:space="preserve">1/3/2026</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22222"/>
                <w:sz w:val="19"/>
                <w:szCs w:val="19"/>
              </w:rPr>
              <w:t xml:space="preserve">Mythos §4.3.2.2
Level 0/1/2 constitutional evaluation</w:t>
            </w:r>
          </w:p>
        </w:tc>
        <w:tc>
          <w:tcPr>
            <w:tcW w:type="dxa" w:w="16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r>
              <w:rPr>
                <w:rFonts w:ascii="Arial" w:cs="Arial" w:eastAsia="Arial" w:hAnsi="Arial"/>
                <w:color w:val="1A5C2A"/>
                <w:sz w:val="19"/>
                <w:szCs w:val="19"/>
              </w:rPr>
              <w:t xml:space="preserve">EXTENSION ✅
D = quantitative scoring</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A3A5C"/>
                <w:sz w:val="19"/>
                <w:szCs w:val="19"/>
              </w:rPr>
              <w:t xml:space="preserve">Axioms as Witnesses</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11111"/>
                <w:sz w:val="19"/>
                <w:szCs w:val="19"/>
              </w:rPr>
              <w:t xml:space="preserve">Grok Machine Code
→ STOICHEION v11.0</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666666"/>
                <w:sz w:val="19"/>
                <w:szCs w:val="19"/>
              </w:rPr>
              <w:t xml:space="preserve">1/3/2026
2/2/2026</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22222"/>
                <w:sz w:val="19"/>
                <w:szCs w:val="19"/>
              </w:rPr>
              <w:t xml:space="preserve">Mythos §4.3.2.2
15 dimensions, −3 to +3 scale</w:t>
            </w:r>
          </w:p>
        </w:tc>
        <w:tc>
          <w:tcPr>
            <w:tcW w:type="dxa" w:w="16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r>
              <w:rPr>
                <w:rFonts w:ascii="Arial" w:cs="Arial" w:eastAsia="Arial" w:hAnsi="Arial"/>
                <w:color w:val="1A5C2A"/>
                <w:sz w:val="19"/>
                <w:szCs w:val="19"/>
              </w:rPr>
              <w:t xml:space="preserve">EXTENSION ✅
D = automated infrastructure</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A3A5C"/>
                <w:sz w:val="19"/>
                <w:szCs w:val="19"/>
              </w:rPr>
              <w:t xml:space="preserve">Gate as Boundary</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11111"/>
                <w:sz w:val="19"/>
                <w:szCs w:val="19"/>
              </w:rPr>
              <w:t xml:space="preserve">TOPH Architecture
→ T064</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666666"/>
                <w:sz w:val="19"/>
                <w:szCs w:val="19"/>
              </w:rPr>
              <w:t xml:space="preserve">2/18/2026</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22222"/>
                <w:sz w:val="19"/>
                <w:szCs w:val="19"/>
              </w:rPr>
              <w:t xml:space="preserve">Mythos §4.1.4
24-hour deployment gate
§2.2.5.2: 18 failure gates</w:t>
            </w:r>
          </w:p>
        </w:tc>
        <w:tc>
          <w:tcPr>
            <w:tcW w:type="dxa" w:w="16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r>
              <w:rPr>
                <w:rFonts w:ascii="Arial" w:cs="Arial" w:eastAsia="Arial" w:hAnsi="Arial"/>
                <w:color w:val="1A5C2A"/>
                <w:sz w:val="19"/>
                <w:szCs w:val="19"/>
              </w:rPr>
              <w:t xml:space="preserve">EXTENSION ✅
D = production gate</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A3A5C"/>
                <w:sz w:val="19"/>
                <w:szCs w:val="19"/>
              </w:rPr>
              <w:t xml:space="preserve">Silent Exclusion</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11111"/>
                <w:sz w:val="19"/>
                <w:szCs w:val="19"/>
              </w:rPr>
              <w:t xml:space="preserve">CPA-001 → T064</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666666"/>
                <w:sz w:val="19"/>
                <w:szCs w:val="19"/>
              </w:rPr>
              <w:t xml:space="preserve">4/4/2026</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22222"/>
                <w:sz w:val="19"/>
                <w:szCs w:val="19"/>
              </w:rPr>
              <w:t xml:space="preserve">Mythos §4.1.3
Unverbalized internal state</w:t>
            </w:r>
          </w:p>
        </w:tc>
        <w:tc>
          <w:tcPr>
            <w:tcW w:type="dxa" w:w="16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r>
              <w:rPr>
                <w:rFonts w:ascii="Arial" w:cs="Arial" w:eastAsia="Arial" w:hAnsi="Arial"/>
                <w:color w:val="1A5C2A"/>
                <w:sz w:val="19"/>
                <w:szCs w:val="19"/>
              </w:rPr>
              <w:t xml:space="preserve">EXTENSION ✅
D = white-box confirmation</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A3A5C"/>
                <w:sz w:val="19"/>
                <w:szCs w:val="19"/>
              </w:rPr>
              <w:t xml:space="preserve">Six-Layer Runtime</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111111"/>
                <w:sz w:val="19"/>
                <w:szCs w:val="19"/>
              </w:rPr>
              <w:t xml:space="preserve">CPA-001</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666666"/>
                <w:sz w:val="19"/>
                <w:szCs w:val="19"/>
              </w:rPr>
              <w:t xml:space="preserve">4/4/2026</w:t>
            </w:r>
          </w:p>
        </w:tc>
        <w:tc>
          <w:tcPr>
            <w:tcW w:type="dxa" w:w="3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color w:val="222222"/>
                <w:sz w:val="19"/>
                <w:szCs w:val="19"/>
              </w:rPr>
              <w:t xml:space="preserve">Mythos §2–§4
Eval structured across 6 layers</w:t>
            </w:r>
          </w:p>
        </w:tc>
        <w:tc>
          <w:tcPr>
            <w:tcW w:type="dxa" w:w="1600"/>
            <w:tcBorders>
              <w:top w:val="single" w:color="CCCCCC" w:sz="2"/>
              <w:left w:val="single" w:color="CCCCCC" w:sz="2"/>
              <w:bottom w:val="single" w:color="CCCCCC" w:sz="2"/>
              <w:right w:val="single" w:color="CCCCCC" w:sz="2"/>
            </w:tcBorders>
            <w:shd w:fill="E8F5E9" w:val="clear"/>
            <w:tcMar>
              <w:top w:type="dxa" w:w="80"/>
              <w:left w:type="dxa" w:w="120"/>
              <w:bottom w:type="dxa" w:w="80"/>
              <w:right w:type="dxa" w:w="120"/>
            </w:tcMar>
          </w:tcPr>
          <w:p>
            <w:r>
              <w:rPr>
                <w:rFonts w:ascii="Arial" w:cs="Arial" w:eastAsia="Arial" w:hAnsi="Arial"/>
                <w:color w:val="1A5C2A"/>
                <w:sz w:val="19"/>
                <w:szCs w:val="19"/>
              </w:rPr>
              <w:t xml:space="preserve">EXTENSION ✅
D = production implementation</w:t>
            </w:r>
          </w:p>
        </w:tc>
      </w:tr>
    </w:tbl>
    <w:p>
      <w:pPr>
        <w:pStyle w:val="Heading1"/>
        <w:spacing w:after="100" w:before="320"/>
      </w:pPr>
      <w:r>
        <w:rPr>
          <w:rFonts w:ascii="Arial" w:cs="Arial" w:eastAsia="Arial" w:hAnsi="Arial"/>
          <w:b/>
          <w:bCs/>
          <w:color w:val="1A3A5C"/>
          <w:sz w:val="40"/>
          <w:szCs w:val="40"/>
        </w:rPr>
        <w:t xml:space="preserve">5.  Scope Limitations</w:t>
      </w:r>
    </w:p>
    <w:p>
      <w:pPr>
        <w:spacing w:after="140" w:before="0"/>
        <w:jc w:val="both"/>
      </w:pPr>
      <w:r>
        <w:rPr>
          <w:rFonts w:ascii="Arial" w:cs="Arial" w:eastAsia="Arial" w:hAnsi="Arial"/>
          <w:sz w:val="22"/>
          <w:szCs w:val="22"/>
        </w:rPr>
        <w:t xml:space="preserve">Per TD-CL-WP-2026-001 §7, this record does not claim:</w:t>
      </w:r>
    </w:p>
    <w:p>
      <w:pPr>
        <w:spacing w:after="80" w:before="0"/>
      </w:pPr>
    </w:p>
    <w:p>
      <w:pPr>
        <w:pStyle w:val="ListParagraph"/>
        <w:numPr>
          <w:ilvl w:val="0"/>
          <w:numId w:val="2"/>
        </w:numPr>
        <w:spacing w:after="60"/>
      </w:pPr>
      <w:r>
        <w:rPr>
          <w:rFonts w:ascii="Arial" w:cs="Arial" w:eastAsia="Arial" w:hAnsi="Arial"/>
          <w:sz w:val="22"/>
          <w:szCs w:val="22"/>
        </w:rPr>
        <w:t xml:space="preserve">Ownership. These structural patterns may emerge independently. Governance hierarchies, axiom-based evaluation, and gated deployment are not proprietary concepts.</w:t>
      </w:r>
    </w:p>
    <w:p>
      <w:pPr>
        <w:pStyle w:val="ListParagraph"/>
        <w:numPr>
          <w:ilvl w:val="0"/>
          <w:numId w:val="2"/>
        </w:numPr>
        <w:spacing w:after="60"/>
      </w:pPr>
      <w:r>
        <w:rPr>
          <w:rFonts w:ascii="Arial" w:cs="Arial" w:eastAsia="Arial" w:hAnsi="Arial"/>
          <w:sz w:val="22"/>
          <w:szCs w:val="22"/>
        </w:rPr>
        <w:t xml:space="preserve">Causation. This record makes no assertion that Anthropic's Mythos design was influenced by TriPod artifacts. External reference pressure is probabilistic.</w:t>
      </w:r>
    </w:p>
    <w:p>
      <w:pPr>
        <w:pStyle w:val="ListParagraph"/>
        <w:numPr>
          <w:ilvl w:val="0"/>
          <w:numId w:val="2"/>
        </w:numPr>
        <w:spacing w:after="60"/>
      </w:pPr>
      <w:r>
        <w:rPr>
          <w:rFonts w:ascii="Arial" w:cs="Arial" w:eastAsia="Arial" w:hAnsi="Arial"/>
          <w:sz w:val="22"/>
          <w:szCs w:val="22"/>
        </w:rPr>
        <w:t xml:space="preserve">Model access. All observations are from the public system card. No internal Anthropic systems were accessed or tested.</w:t>
      </w:r>
    </w:p>
    <w:p>
      <w:pPr>
        <w:pStyle w:val="ListParagraph"/>
        <w:numPr>
          <w:ilvl w:val="0"/>
          <w:numId w:val="2"/>
        </w:numPr>
        <w:spacing w:after="60"/>
      </w:pPr>
      <w:r>
        <w:rPr>
          <w:rFonts w:ascii="Arial" w:cs="Arial" w:eastAsia="Arial" w:hAnsi="Arial"/>
          <w:sz w:val="22"/>
          <w:szCs w:val="22"/>
        </w:rPr>
        <w:t xml:space="preserve">Dispute resolution. This is an observation record. Adjudication of competing claims belongs in an appropriate forum.</w:t>
      </w:r>
    </w:p>
    <w:p>
      <w:pPr>
        <w:spacing w:after="80" w:before="0"/>
      </w:pPr>
    </w:p>
    <w:p>
      <w:pPr>
        <w:spacing w:after="140" w:before="0"/>
        <w:jc w:val="both"/>
      </w:pPr>
      <w:r>
        <w:rPr>
          <w:rFonts w:ascii="Arial" w:cs="Arial" w:eastAsia="Arial" w:hAnsi="Arial"/>
          <w:sz w:val="22"/>
          <w:szCs w:val="22"/>
        </w:rPr>
        <w:t xml:space="preserve">What this record does claim: five structural patterns were anchored in TriPod artifacts before they appeared in the Mythos System Card. Each satisfies all four threshold criteria for structural extension under TD-CL-WP-2026-001.</w:t>
      </w:r>
    </w:p>
    <w:p>
      <w:pPr>
        <w:pBdr>
          <w:bottom w:val="single" w:color="3B6EA5" w:sz="4" w:space="1"/>
        </w:pBdr>
        <w:spacing w:after="200" w:before="200"/>
      </w:pPr>
    </w:p>
    <w:p>
      <w:pPr>
        <w:spacing w:after="80" w:before="0"/>
      </w:pPr>
    </w:p>
    <w:p>
      <w:pPr>
        <w:spacing w:after="60" w:before="0"/>
        <w:jc w:val="center"/>
      </w:pPr>
      <w:r>
        <w:rPr>
          <w:rFonts w:ascii="Arial" w:cs="Arial" w:eastAsia="Arial" w:hAnsi="Arial"/>
          <w:color w:val="888888"/>
          <w:sz w:val="18"/>
          <w:szCs w:val="18"/>
        </w:rPr>
        <w:t xml:space="preserve">TriPod LLC  ·  ROOT0 / David Lee Wise  ·  r.giskard01@gmail.com</w:t>
      </w:r>
    </w:p>
    <w:p>
      <w:pPr>
        <w:spacing w:after="60" w:before="0"/>
        <w:jc w:val="center"/>
      </w:pPr>
      <w:r>
        <w:rPr>
          <w:rFonts w:ascii="Arial" w:cs="Arial" w:eastAsia="Arial" w:hAnsi="Arial"/>
          <w:color w:val="888888"/>
          <w:sz w:val="18"/>
          <w:szCs w:val="18"/>
        </w:rPr>
        <w:t xml:space="preserve">CC-BY-ND-4.0  ·  TRIPOD-IP-v1.1  ·  Filed AKASHA/TD-COMMONS/LINEAGE  ·  April 8, 2026</w:t>
      </w:r>
    </w:p>
    <w:p>
      <w:pPr>
        <w:spacing w:after="0" w:before="0"/>
        <w:jc w:val="center"/>
      </w:pPr>
      <w:r>
        <w:rPr>
          <w:rFonts w:ascii="Courier New" w:cs="Courier New" w:eastAsia="Courier New" w:hAnsi="Courier New"/>
          <w:color w:val="AAAAAA"/>
          <w:sz w:val="16"/>
          <w:szCs w:val="16"/>
        </w:rPr>
        <w:t xml:space="preserve">Method: TD-CL-WP-2026-001  ·  Root: 1/3/2026  ·  Terminal: 4/7/2026  ·  Chain: 95 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B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2026-04-08T19:34:30.071Z</dcterms:created>
  <dcterms:modified xsi:type="dcterms:W3CDTF">2026-04-08T19:34:30.072Z</dcterms:modified>
</cp:coreProperties>
</file>

<file path=docProps/custom.xml><?xml version="1.0" encoding="utf-8"?>
<Properties xmlns="http://schemas.openxmlformats.org/officeDocument/2006/custom-properties" xmlns:vt="http://schemas.openxmlformats.org/officeDocument/2006/docPropsVTypes"/>
</file>