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80"/>
        <w:jc w:val="center"/>
      </w:pPr>
      <w:r>
        <w:rPr>
          <w:rFonts w:ascii="微软雅黑" w:hAnsi="微软雅黑" w:eastAsia="微软雅黑"/>
          <w:b/>
          <w:i w:val="0"/>
          <w:color w:val="1F3A5F"/>
          <w:sz w:val="60"/>
        </w:rPr>
        <w:t>安集科技 (688019)</w:t>
      </w:r>
    </w:p>
    <w:p>
      <w:pPr>
        <w:spacing w:after="480"/>
        <w:jc w:val="center"/>
      </w:pPr>
      <w:r>
        <w:rPr>
          <w:rFonts w:ascii="Times New Roman" w:hAnsi="Times New Roman" w:eastAsia="Times New Roman"/>
          <w:b w:val="0"/>
          <w:i w:val="0"/>
          <w:color w:val="7A7A7A"/>
          <w:sz w:val="28"/>
        </w:rPr>
        <w:t>Anji Microelectronics</w:t>
      </w:r>
    </w:p>
    <w:p>
      <w:pPr>
        <w:spacing w:after="120"/>
        <w:jc w:val="center"/>
      </w:pPr>
      <w:r>
        <w:rPr>
          <w:rFonts w:ascii="微软雅黑" w:hAnsi="微软雅黑" w:eastAsia="微软雅黑"/>
          <w:b/>
          <w:i w:val="0"/>
          <w:color w:val="2E6DA4"/>
          <w:sz w:val="40"/>
        </w:rPr>
        <w:t>深度研究报告</w:t>
      </w:r>
    </w:p>
    <w:p>
      <w:pPr>
        <w:spacing w:after="800"/>
        <w:jc w:val="center"/>
      </w:pPr>
      <w:r>
        <w:rPr>
          <w:rFonts w:ascii="微软雅黑" w:hAnsi="微软雅黑" w:eastAsia="微软雅黑"/>
          <w:b w:val="0"/>
          <w:i w:val="0"/>
          <w:color w:val="555555"/>
          <w:sz w:val="24"/>
        </w:rPr>
        <w:t>核心竞争力 · 供需与涨价逻辑 · 2026–2028 盈利预测与估值</w:t>
      </w:r>
    </w:p>
    <w:tbl>
      <w:tblPr>
        <w:tblW w:type="auto" w:w="0"/>
        <w:jc w:val="center"/>
        <w:tblLook w:firstColumn="1" w:firstRow="1" w:lastColumn="0" w:lastRow="0" w:noHBand="0" w:noVBand="1" w:val="04A0"/>
      </w:tblPr>
      <w:tblGrid>
        <w:gridCol w:w="4320"/>
        <w:gridCol w:w="4320"/>
      </w:tblGrid>
      <w:tr>
        <w:tc>
          <w:tcPr>
            <w:tcW w:type="dxa" w:w="1814"/>
            <w:shd w:val="clear" w:fill="1F3A5F"/>
          </w:tcPr>
          <w:p>
            <w:pPr>
              <w:spacing w:after="40" w:before="40"/>
              <w:jc w:val="center"/>
            </w:pPr>
            <w:r/>
            <w:r>
              <w:rPr>
                <w:rFonts w:ascii="微软雅黑" w:hAnsi="微软雅黑" w:eastAsia="微软雅黑"/>
                <w:b/>
                <w:color w:val="FFFFFF"/>
                <w:sz w:val="21"/>
              </w:rPr>
              <w:t>行业</w:t>
            </w:r>
          </w:p>
        </w:tc>
        <w:tc>
          <w:tcPr>
            <w:tcW w:type="dxa" w:w="6520"/>
            <w:shd w:val="clear" w:fill="F2F6FA"/>
          </w:tcPr>
          <w:p>
            <w:pPr>
              <w:spacing w:after="40" w:before="40"/>
            </w:pPr>
            <w:r/>
            <w:r>
              <w:rPr>
                <w:rFonts w:ascii="宋体" w:hAnsi="宋体" w:eastAsia="宋体"/>
                <w:b w:val="0"/>
                <w:sz w:val="21"/>
              </w:rPr>
              <w:t>半导体材料 — CMP 抛光液 / 功能性湿电子化学品</w:t>
            </w:r>
          </w:p>
        </w:tc>
      </w:tr>
      <w:tr>
        <w:tc>
          <w:tcPr>
            <w:tcW w:type="dxa" w:w="1814"/>
            <w:shd w:val="clear" w:fill="1F3A5F"/>
          </w:tcPr>
          <w:p>
            <w:pPr>
              <w:spacing w:after="40" w:before="40"/>
              <w:jc w:val="center"/>
            </w:pPr>
            <w:r/>
            <w:r>
              <w:rPr>
                <w:rFonts w:ascii="微软雅黑" w:hAnsi="微软雅黑" w:eastAsia="微软雅黑"/>
                <w:b/>
                <w:color w:val="FFFFFF"/>
                <w:sz w:val="21"/>
              </w:rPr>
              <w:t>报告日期</w:t>
            </w:r>
          </w:p>
        </w:tc>
        <w:tc>
          <w:tcPr>
            <w:tcW w:type="dxa" w:w="6520"/>
            <w:shd w:val="clear" w:fill="F2F6FA"/>
          </w:tcPr>
          <w:p>
            <w:pPr>
              <w:spacing w:after="40" w:before="40"/>
            </w:pPr>
            <w:r/>
            <w:r>
              <w:rPr>
                <w:rFonts w:ascii="宋体" w:hAnsi="宋体" w:eastAsia="宋体"/>
                <w:b w:val="0"/>
                <w:sz w:val="21"/>
              </w:rPr>
              <w:t>2026 年 7 月 1 日</w:t>
            </w:r>
          </w:p>
        </w:tc>
      </w:tr>
      <w:tr>
        <w:tc>
          <w:tcPr>
            <w:tcW w:type="dxa" w:w="1814"/>
            <w:shd w:val="clear" w:fill="1F3A5F"/>
          </w:tcPr>
          <w:p>
            <w:pPr>
              <w:spacing w:after="40" w:before="40"/>
              <w:jc w:val="center"/>
            </w:pPr>
            <w:r/>
            <w:r>
              <w:rPr>
                <w:rFonts w:ascii="微软雅黑" w:hAnsi="微软雅黑" w:eastAsia="微软雅黑"/>
                <w:b/>
                <w:color w:val="FFFFFF"/>
                <w:sz w:val="21"/>
              </w:rPr>
              <w:t>数据截止</w:t>
            </w:r>
          </w:p>
        </w:tc>
        <w:tc>
          <w:tcPr>
            <w:tcW w:type="dxa" w:w="6520"/>
            <w:shd w:val="clear" w:fill="F2F6FA"/>
          </w:tcPr>
          <w:p>
            <w:pPr>
              <w:spacing w:after="40" w:before="40"/>
            </w:pPr>
            <w:r/>
            <w:r>
              <w:rPr>
                <w:rFonts w:ascii="宋体" w:hAnsi="宋体" w:eastAsia="宋体"/>
                <w:b w:val="0"/>
                <w:sz w:val="21"/>
              </w:rPr>
              <w:t>2025 年报 + 2026 年一季报 (最新披露)</w:t>
            </w:r>
          </w:p>
        </w:tc>
      </w:tr>
      <w:tr>
        <w:tc>
          <w:tcPr>
            <w:tcW w:type="dxa" w:w="1814"/>
            <w:shd w:val="clear" w:fill="1F3A5F"/>
          </w:tcPr>
          <w:p>
            <w:pPr>
              <w:spacing w:after="40" w:before="40"/>
              <w:jc w:val="center"/>
            </w:pPr>
            <w:r/>
            <w:r>
              <w:rPr>
                <w:rFonts w:ascii="微软雅黑" w:hAnsi="微软雅黑" w:eastAsia="微软雅黑"/>
                <w:b/>
                <w:color w:val="FFFFFF"/>
                <w:sz w:val="21"/>
              </w:rPr>
              <w:t>报告类型</w:t>
            </w:r>
          </w:p>
        </w:tc>
        <w:tc>
          <w:tcPr>
            <w:tcW w:type="dxa" w:w="6520"/>
            <w:shd w:val="clear" w:fill="F2F6FA"/>
          </w:tcPr>
          <w:p>
            <w:pPr>
              <w:spacing w:after="40" w:before="40"/>
            </w:pPr>
            <w:r/>
            <w:r>
              <w:rPr>
                <w:rFonts w:ascii="宋体" w:hAnsi="宋体" w:eastAsia="宋体"/>
                <w:b w:val="0"/>
                <w:sz w:val="21"/>
              </w:rPr>
              <w:t>基本面 + 行业 + 估值 综合研究</w:t>
            </w:r>
          </w:p>
        </w:tc>
      </w:tr>
    </w:tbl>
    <w:p>
      <w:pPr>
        <w:spacing w:after="600"/>
      </w:pPr>
    </w:p>
    <w:p>
      <w:pPr>
        <w:spacing w:after="80"/>
        <w:jc w:val="center"/>
      </w:pPr>
      <w:r>
        <w:rPr>
          <w:rFonts w:ascii="宋体" w:hAnsi="宋体" w:eastAsia="宋体"/>
          <w:b w:val="0"/>
          <w:i w:val="0"/>
          <w:color w:val="7A7A7A"/>
          <w:sz w:val="17"/>
        </w:rPr>
        <w:t>重要提示：本报告基于公开信息整理，所含盈利预测、估值测算与"涨价概率"等均为基于假设的分析推演，不构成任何投资建议。证券投资有风险，请独立决策。报告作者非持牌投资顾问。</w:t>
      </w:r>
    </w:p>
    <w:p>
      <w:r>
        <w:br w:type="page"/>
      </w:r>
    </w:p>
    <w:p>
      <w:pPr>
        <w:spacing w:before="320" w:after="160"/>
        <w:pBdr>
          <w:bottom w:val="single" w:sz="6" w:space="4" w:color="1F3A5F"/>
        </w:pBdr>
      </w:pPr>
      <w:r>
        <w:rPr>
          <w:rFonts w:ascii="微软雅黑" w:hAnsi="微软雅黑" w:eastAsia="微软雅黑"/>
          <w:b/>
          <w:color w:val="1F3A5F"/>
          <w:sz w:val="30"/>
        </w:rPr>
        <w:t>00  投资摘要 (Executive Summary)</w:t>
      </w:r>
    </w:p>
    <w:p>
      <w:pPr>
        <w:spacing w:after="60"/>
      </w:pPr>
      <w:r>
        <w:rPr>
          <w:rFonts w:ascii="微软雅黑" w:hAnsi="微软雅黑" w:eastAsia="微软雅黑"/>
          <w:b/>
          <w:i w:val="0"/>
          <w:color w:val="1F3A5F"/>
          <w:sz w:val="22"/>
        </w:rPr>
        <w:t>一句话结论</w:t>
      </w:r>
    </w:p>
    <w:p>
      <w:pPr>
        <w:spacing w:after="120"/>
        <w:ind w:firstLine="420"/>
      </w:pPr>
      <w:r>
        <w:rPr>
          <w:rFonts w:ascii="宋体" w:hAnsi="宋体" w:eastAsia="宋体"/>
          <w:b w:val="0"/>
          <w:i w:val="0"/>
          <w:sz w:val="21"/>
        </w:rPr>
        <w:t>安集科技是中国 CMP 抛光液绝对龙头，全球市占率三年内从约 8% 提升至约 13%，并在 2026 年一季度实现大马士革铜电镀液量产销售，完成从"单一抛光液"向"3+1 平台型湿电子化学品公司"的关键一跃。公司站在"国产替代 + 半导体材料涨价周期 + AI 扩产"三重顺风之上，成长确定性高、稀缺性强；但当前估值不便宜，股价已部分反映乐观预期，需警惕高估值回撤与原材料成本侵蚀毛利的风险。</w:t>
      </w:r>
    </w:p>
    <w:p>
      <w:pPr>
        <w:spacing w:before="120" w:after="60"/>
      </w:pPr>
      <w:r>
        <w:rPr>
          <w:rFonts w:ascii="微软雅黑" w:hAnsi="微软雅黑" w:eastAsia="微软雅黑"/>
          <w:b/>
          <w:i w:val="0"/>
          <w:color w:val="1F3A5F"/>
          <w:sz w:val="22"/>
        </w:rPr>
        <w:t>核心看点</w:t>
      </w:r>
    </w:p>
    <w:p>
      <w:pPr>
        <w:pStyle w:val="ListBullet"/>
        <w:spacing w:after="60"/>
      </w:pPr>
      <w:r>
        <w:rPr>
          <w:rFonts w:ascii="宋体" w:hAnsi="宋体" w:eastAsia="宋体"/>
          <w:b/>
          <w:color w:val="1F3A5F"/>
          <w:sz w:val="21"/>
        </w:rPr>
        <w:t>2025 年营收 25.04 亿元 (+36.5%)，归母净利 7.84 亿元 (+46.9%)，利润增速持续快于收入，盈利质量改善。</w:t>
      </w:r>
      <w:r>
        <w:rPr>
          <w:rFonts w:ascii="宋体" w:hAnsi="宋体" w:eastAsia="宋体"/>
          <w:sz w:val="21"/>
        </w:rPr>
        <w:t>收入与利润高增：</w:t>
      </w:r>
    </w:p>
    <w:p>
      <w:pPr>
        <w:pStyle w:val="ListBullet"/>
        <w:spacing w:after="60"/>
      </w:pPr>
      <w:r>
        <w:rPr>
          <w:rFonts w:ascii="宋体" w:hAnsi="宋体" w:eastAsia="宋体"/>
          <w:b/>
          <w:color w:val="1F3A5F"/>
          <w:sz w:val="21"/>
        </w:rPr>
        <w:t>A 股中极少数同时掌握 CMP 抛光液 + 铜电镀液 + 清洗液并实现先进制程量产的平台型公司。</w:t>
      </w:r>
      <w:r>
        <w:rPr>
          <w:rFonts w:ascii="宋体" w:hAnsi="宋体" w:eastAsia="宋体"/>
          <w:sz w:val="21"/>
        </w:rPr>
        <w:t>稀缺性突出：</w:t>
      </w:r>
    </w:p>
    <w:p>
      <w:pPr>
        <w:pStyle w:val="ListBullet"/>
        <w:spacing w:after="60"/>
      </w:pPr>
      <w:r>
        <w:rPr>
          <w:rFonts w:ascii="宋体" w:hAnsi="宋体" w:eastAsia="宋体"/>
          <w:b/>
          <w:color w:val="1F3A5F"/>
          <w:sz w:val="21"/>
        </w:rPr>
        <w:t>2026 年半导体材料进入涨价周期 (六氟化钨年内涨超 230%、硅片密集提价)，晶圆厂高产能利用率提升材料议价权。</w:t>
      </w:r>
      <w:r>
        <w:rPr>
          <w:rFonts w:ascii="宋体" w:hAnsi="宋体" w:eastAsia="宋体"/>
          <w:sz w:val="21"/>
        </w:rPr>
        <w:t>行业顺风明确：</w:t>
      </w:r>
    </w:p>
    <w:p>
      <w:pPr>
        <w:pStyle w:val="ListBullet"/>
        <w:spacing w:after="60"/>
      </w:pPr>
      <w:r>
        <w:rPr>
          <w:rFonts w:ascii="宋体" w:hAnsi="宋体" w:eastAsia="宋体"/>
          <w:b/>
          <w:color w:val="1F3A5F"/>
          <w:sz w:val="21"/>
        </w:rPr>
        <w:t>电镀液打破陶氏/上村/Atotech 海外垄断，先进封装与 2nm/3nm 扩产打开增量空间。</w:t>
      </w:r>
      <w:r>
        <w:rPr>
          <w:rFonts w:ascii="宋体" w:hAnsi="宋体" w:eastAsia="宋体"/>
          <w:sz w:val="21"/>
        </w:rPr>
        <w:t>第二增长曲线落地：</w:t>
      </w:r>
    </w:p>
    <w:p>
      <w:pPr>
        <w:spacing w:before="120" w:after="60"/>
      </w:pPr>
      <w:r>
        <w:rPr>
          <w:rFonts w:ascii="微软雅黑" w:hAnsi="微软雅黑" w:eastAsia="微软雅黑"/>
          <w:b/>
          <w:i w:val="0"/>
          <w:color w:val="C0392B"/>
          <w:sz w:val="22"/>
        </w:rPr>
        <w:t>主要风险</w:t>
      </w:r>
    </w:p>
    <w:p>
      <w:pPr>
        <w:pStyle w:val="ListBullet"/>
        <w:spacing w:after="60"/>
      </w:pPr>
      <w:r>
        <w:rPr>
          <w:rFonts w:ascii="宋体" w:hAnsi="宋体" w:eastAsia="宋体"/>
          <w:b/>
          <w:color w:val="1F3A5F"/>
          <w:sz w:val="21"/>
        </w:rPr>
        <w:t>当前动态 PE 显著高于历史中枢，对业绩兑现要求高，一旦增速不及预期易戴维斯双杀。</w:t>
      </w:r>
      <w:r>
        <w:rPr>
          <w:rFonts w:ascii="宋体" w:hAnsi="宋体" w:eastAsia="宋体"/>
          <w:sz w:val="21"/>
        </w:rPr>
        <w:t>估值偏高：</w:t>
      </w:r>
    </w:p>
    <w:p>
      <w:pPr>
        <w:pStyle w:val="ListBullet"/>
        <w:spacing w:after="60"/>
      </w:pPr>
      <w:r>
        <w:rPr>
          <w:rFonts w:ascii="宋体" w:hAnsi="宋体" w:eastAsia="宋体"/>
          <w:b/>
          <w:color w:val="1F3A5F"/>
          <w:sz w:val="21"/>
        </w:rPr>
        <w:t>中芯国际为最大客户，绑定度高，单一客户资本开支波动影响大。</w:t>
      </w:r>
      <w:r>
        <w:rPr>
          <w:rFonts w:ascii="宋体" w:hAnsi="宋体" w:eastAsia="宋体"/>
          <w:sz w:val="21"/>
        </w:rPr>
        <w:t>客户集中：</w:t>
      </w:r>
    </w:p>
    <w:p>
      <w:pPr>
        <w:pStyle w:val="ListBullet"/>
        <w:spacing w:after="60"/>
      </w:pPr>
      <w:r>
        <w:rPr>
          <w:rFonts w:ascii="宋体" w:hAnsi="宋体" w:eastAsia="宋体"/>
          <w:b/>
          <w:color w:val="1F3A5F"/>
          <w:sz w:val="21"/>
        </w:rPr>
        <w:t>2025 年毛利率同比降约 1.7pct，国产替代放量与原材料涨价可能持续摊薄毛利。</w:t>
      </w:r>
      <w:r>
        <w:rPr>
          <w:rFonts w:ascii="宋体" w:hAnsi="宋体" w:eastAsia="宋体"/>
          <w:sz w:val="21"/>
        </w:rPr>
        <w:t>毛利率承压：</w:t>
      </w:r>
    </w:p>
    <w:p>
      <w:pPr>
        <w:pStyle w:val="ListBullet"/>
        <w:spacing w:after="60"/>
      </w:pPr>
      <w:r>
        <w:rPr>
          <w:rFonts w:ascii="宋体" w:hAnsi="宋体" w:eastAsia="宋体"/>
          <w:b/>
          <w:color w:val="1F3A5F"/>
          <w:sz w:val="21"/>
        </w:rPr>
        <w:t>现金流质量需持续跟踪。</w:t>
      </w:r>
      <w:r>
        <w:rPr>
          <w:rFonts w:ascii="宋体" w:hAnsi="宋体" w:eastAsia="宋体"/>
          <w:sz w:val="21"/>
        </w:rPr>
        <w:t>应收账款偏大：</w:t>
      </w:r>
    </w:p>
    <w:p>
      <w:pPr>
        <w:spacing w:before="160" w:after="80"/>
      </w:pPr>
      <w:r>
        <w:rPr>
          <w:rFonts w:ascii="微软雅黑" w:hAnsi="微软雅黑" w:eastAsia="微软雅黑"/>
          <w:b/>
          <w:i w:val="0"/>
          <w:color w:val="1F3A5F"/>
          <w:sz w:val="22"/>
        </w:rPr>
        <w:t>关键数据速览</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35"/>
            <w:shd w:val="clear" w:fill="1F3A5F"/>
          </w:tcPr>
          <w:p>
            <w:pPr>
              <w:spacing w:after="40" w:before="40"/>
              <w:jc w:val="center"/>
            </w:pPr>
            <w:r/>
            <w:r>
              <w:rPr>
                <w:rFonts w:ascii="微软雅黑" w:hAnsi="微软雅黑" w:eastAsia="微软雅黑"/>
                <w:b/>
                <w:color w:val="FFFFFF"/>
                <w:sz w:val="19"/>
              </w:rPr>
              <w:t>指标</w:t>
            </w:r>
          </w:p>
        </w:tc>
        <w:tc>
          <w:tcPr>
            <w:tcW w:type="dxa" w:w="1474"/>
            <w:shd w:val="clear" w:fill="1F3A5F"/>
          </w:tcPr>
          <w:p>
            <w:pPr>
              <w:spacing w:after="40" w:before="40"/>
              <w:jc w:val="center"/>
            </w:pPr>
            <w:r/>
            <w:r>
              <w:rPr>
                <w:rFonts w:ascii="微软雅黑" w:hAnsi="微软雅黑" w:eastAsia="微软雅黑"/>
                <w:b/>
                <w:color w:val="FFFFFF"/>
                <w:sz w:val="19"/>
              </w:rPr>
              <w:t>2024A</w:t>
            </w:r>
          </w:p>
        </w:tc>
        <w:tc>
          <w:tcPr>
            <w:tcW w:type="dxa" w:w="1474"/>
            <w:shd w:val="clear" w:fill="1F3A5F"/>
          </w:tcPr>
          <w:p>
            <w:pPr>
              <w:spacing w:after="40" w:before="40"/>
              <w:jc w:val="center"/>
            </w:pPr>
            <w:r/>
            <w:r>
              <w:rPr>
                <w:rFonts w:ascii="微软雅黑" w:hAnsi="微软雅黑" w:eastAsia="微软雅黑"/>
                <w:b/>
                <w:color w:val="FFFFFF"/>
                <w:sz w:val="19"/>
              </w:rPr>
              <w:t>2025A</w:t>
            </w:r>
          </w:p>
        </w:tc>
        <w:tc>
          <w:tcPr>
            <w:tcW w:type="dxa" w:w="1474"/>
            <w:shd w:val="clear" w:fill="1F3A5F"/>
          </w:tcPr>
          <w:p>
            <w:pPr>
              <w:spacing w:after="40" w:before="40"/>
              <w:jc w:val="center"/>
            </w:pPr>
            <w:r/>
            <w:r>
              <w:rPr>
                <w:rFonts w:ascii="微软雅黑" w:hAnsi="微软雅黑" w:eastAsia="微软雅黑"/>
                <w:b/>
                <w:color w:val="FFFFFF"/>
                <w:sz w:val="19"/>
              </w:rPr>
              <w:t>2026Q1</w:t>
            </w:r>
          </w:p>
        </w:tc>
        <w:tc>
          <w:tcPr>
            <w:tcW w:type="dxa" w:w="1587"/>
            <w:shd w:val="clear" w:fill="1F3A5F"/>
          </w:tcPr>
          <w:p>
            <w:pPr>
              <w:spacing w:after="40" w:before="40"/>
              <w:jc w:val="center"/>
            </w:pPr>
            <w:r/>
            <w:r>
              <w:rPr>
                <w:rFonts w:ascii="微软雅黑" w:hAnsi="微软雅黑" w:eastAsia="微软雅黑"/>
                <w:b/>
                <w:color w:val="FFFFFF"/>
                <w:sz w:val="19"/>
              </w:rPr>
              <w:t>趋势</w:t>
            </w:r>
          </w:p>
        </w:tc>
      </w:tr>
      <w:tr>
        <w:tc>
          <w:tcPr>
            <w:tcW w:type="dxa" w:w="2835"/>
          </w:tcPr>
          <w:p>
            <w:pPr>
              <w:spacing w:after="40" w:before="40"/>
            </w:pPr>
            <w:r/>
            <w:r>
              <w:rPr>
                <w:rFonts w:ascii="宋体" w:hAnsi="宋体" w:eastAsia="宋体"/>
                <w:b w:val="0"/>
                <w:sz w:val="19"/>
              </w:rPr>
              <w:t>营业收入 (亿元)</w:t>
            </w:r>
          </w:p>
        </w:tc>
        <w:tc>
          <w:tcPr>
            <w:tcW w:type="dxa" w:w="1474"/>
          </w:tcPr>
          <w:p>
            <w:pPr>
              <w:spacing w:after="40" w:before="40"/>
              <w:jc w:val="center"/>
            </w:pPr>
            <w:r/>
            <w:r>
              <w:rPr>
                <w:rFonts w:ascii="宋体" w:hAnsi="宋体" w:eastAsia="宋体"/>
                <w:b w:val="0"/>
                <w:sz w:val="19"/>
              </w:rPr>
              <w:t>18.35</w:t>
            </w:r>
          </w:p>
        </w:tc>
        <w:tc>
          <w:tcPr>
            <w:tcW w:type="dxa" w:w="1474"/>
          </w:tcPr>
          <w:p>
            <w:pPr>
              <w:spacing w:after="40" w:before="40"/>
              <w:jc w:val="center"/>
            </w:pPr>
            <w:r/>
            <w:r>
              <w:rPr>
                <w:rFonts w:ascii="宋体" w:hAnsi="宋体" w:eastAsia="宋体"/>
                <w:b w:val="0"/>
                <w:sz w:val="19"/>
              </w:rPr>
              <w:t>25.04</w:t>
            </w:r>
          </w:p>
        </w:tc>
        <w:tc>
          <w:tcPr>
            <w:tcW w:type="dxa" w:w="1474"/>
          </w:tcPr>
          <w:p>
            <w:pPr>
              <w:spacing w:after="40" w:before="40"/>
              <w:jc w:val="center"/>
            </w:pPr>
            <w:r/>
            <w:r>
              <w:rPr>
                <w:rFonts w:ascii="宋体" w:hAnsi="宋体" w:eastAsia="宋体"/>
                <w:b w:val="0"/>
                <w:sz w:val="19"/>
              </w:rPr>
              <w:t>7.24</w:t>
            </w:r>
          </w:p>
        </w:tc>
        <w:tc>
          <w:tcPr>
            <w:tcW w:type="dxa" w:w="1587"/>
          </w:tcPr>
          <w:p>
            <w:pPr>
              <w:spacing w:after="40" w:before="40"/>
              <w:jc w:val="center"/>
            </w:pPr>
            <w:r/>
            <w:r>
              <w:rPr>
                <w:rFonts w:ascii="宋体" w:hAnsi="宋体" w:eastAsia="宋体"/>
                <w:b w:val="0"/>
                <w:sz w:val="19"/>
              </w:rPr>
              <w:t>↑ 高增长</w:t>
            </w:r>
          </w:p>
        </w:tc>
      </w:tr>
      <w:tr>
        <w:tc>
          <w:tcPr>
            <w:tcW w:type="dxa" w:w="2835"/>
            <w:shd w:val="clear" w:fill="EEF3F8"/>
          </w:tcPr>
          <w:p>
            <w:pPr>
              <w:spacing w:after="40" w:before="40"/>
            </w:pPr>
            <w:r/>
            <w:r>
              <w:rPr>
                <w:rFonts w:ascii="宋体" w:hAnsi="宋体" w:eastAsia="宋体"/>
                <w:b w:val="0"/>
                <w:sz w:val="19"/>
              </w:rPr>
              <w:t xml:space="preserve">  同比增速</w:t>
            </w:r>
          </w:p>
        </w:tc>
        <w:tc>
          <w:tcPr>
            <w:tcW w:type="dxa" w:w="1474"/>
            <w:shd w:val="clear" w:fill="EEF3F8"/>
          </w:tcPr>
          <w:p>
            <w:pPr>
              <w:spacing w:after="40" w:before="40"/>
              <w:jc w:val="center"/>
            </w:pPr>
            <w:r/>
            <w:r>
              <w:rPr>
                <w:rFonts w:ascii="宋体" w:hAnsi="宋体" w:eastAsia="宋体"/>
                <w:b w:val="0"/>
                <w:sz w:val="19"/>
              </w:rPr>
              <w:t>+48.2%</w:t>
            </w:r>
          </w:p>
        </w:tc>
        <w:tc>
          <w:tcPr>
            <w:tcW w:type="dxa" w:w="1474"/>
            <w:shd w:val="clear" w:fill="EEF3F8"/>
          </w:tcPr>
          <w:p>
            <w:pPr>
              <w:spacing w:after="40" w:before="40"/>
              <w:jc w:val="center"/>
            </w:pPr>
            <w:r/>
            <w:r>
              <w:rPr>
                <w:rFonts w:ascii="宋体" w:hAnsi="宋体" w:eastAsia="宋体"/>
                <w:b w:val="0"/>
                <w:sz w:val="19"/>
              </w:rPr>
              <w:t>+36.5%</w:t>
            </w:r>
          </w:p>
        </w:tc>
        <w:tc>
          <w:tcPr>
            <w:tcW w:type="dxa" w:w="1474"/>
            <w:shd w:val="clear" w:fill="EEF3F8"/>
          </w:tcPr>
          <w:p>
            <w:pPr>
              <w:spacing w:after="40" w:before="40"/>
              <w:jc w:val="center"/>
            </w:pPr>
            <w:r/>
            <w:r>
              <w:rPr>
                <w:rFonts w:ascii="宋体" w:hAnsi="宋体" w:eastAsia="宋体"/>
                <w:b w:val="0"/>
                <w:sz w:val="19"/>
              </w:rPr>
              <w:t>+32.8%</w:t>
            </w:r>
          </w:p>
        </w:tc>
        <w:tc>
          <w:tcPr>
            <w:tcW w:type="dxa" w:w="1587"/>
            <w:shd w:val="clear" w:fill="EEF3F8"/>
          </w:tcPr>
          <w:p>
            <w:pPr>
              <w:spacing w:after="40" w:before="40"/>
              <w:jc w:val="center"/>
            </w:pPr>
            <w:r/>
            <w:r>
              <w:rPr>
                <w:rFonts w:ascii="宋体" w:hAnsi="宋体" w:eastAsia="宋体"/>
                <w:b w:val="0"/>
                <w:sz w:val="19"/>
              </w:rPr>
              <w:t>高位放缓</w:t>
            </w:r>
          </w:p>
        </w:tc>
      </w:tr>
      <w:tr>
        <w:tc>
          <w:tcPr>
            <w:tcW w:type="dxa" w:w="2835"/>
          </w:tcPr>
          <w:p>
            <w:pPr>
              <w:spacing w:after="40" w:before="40"/>
            </w:pPr>
            <w:r/>
            <w:r>
              <w:rPr>
                <w:rFonts w:ascii="宋体" w:hAnsi="宋体" w:eastAsia="宋体"/>
                <w:b w:val="0"/>
                <w:sz w:val="19"/>
              </w:rPr>
              <w:t>归母净利润 (亿元)</w:t>
            </w:r>
          </w:p>
        </w:tc>
        <w:tc>
          <w:tcPr>
            <w:tcW w:type="dxa" w:w="1474"/>
          </w:tcPr>
          <w:p>
            <w:pPr>
              <w:spacing w:after="40" w:before="40"/>
              <w:jc w:val="center"/>
            </w:pPr>
            <w:r/>
            <w:r>
              <w:rPr>
                <w:rFonts w:ascii="宋体" w:hAnsi="宋体" w:eastAsia="宋体"/>
                <w:b w:val="0"/>
                <w:sz w:val="19"/>
              </w:rPr>
              <w:t>5.34</w:t>
            </w:r>
          </w:p>
        </w:tc>
        <w:tc>
          <w:tcPr>
            <w:tcW w:type="dxa" w:w="1474"/>
          </w:tcPr>
          <w:p>
            <w:pPr>
              <w:spacing w:after="40" w:before="40"/>
              <w:jc w:val="center"/>
            </w:pPr>
            <w:r/>
            <w:r>
              <w:rPr>
                <w:rFonts w:ascii="宋体" w:hAnsi="宋体" w:eastAsia="宋体"/>
                <w:b w:val="0"/>
                <w:sz w:val="19"/>
              </w:rPr>
              <w:t>7.84</w:t>
            </w:r>
          </w:p>
        </w:tc>
        <w:tc>
          <w:tcPr>
            <w:tcW w:type="dxa" w:w="1474"/>
          </w:tcPr>
          <w:p>
            <w:pPr>
              <w:spacing w:after="40" w:before="40"/>
              <w:jc w:val="center"/>
            </w:pPr>
            <w:r/>
            <w:r>
              <w:rPr>
                <w:rFonts w:ascii="宋体" w:hAnsi="宋体" w:eastAsia="宋体"/>
                <w:b w:val="0"/>
                <w:sz w:val="19"/>
              </w:rPr>
              <w:t>2.08</w:t>
            </w:r>
          </w:p>
        </w:tc>
        <w:tc>
          <w:tcPr>
            <w:tcW w:type="dxa" w:w="1587"/>
          </w:tcPr>
          <w:p>
            <w:pPr>
              <w:spacing w:after="40" w:before="40"/>
              <w:jc w:val="center"/>
            </w:pPr>
            <w:r/>
            <w:r>
              <w:rPr>
                <w:rFonts w:ascii="宋体" w:hAnsi="宋体" w:eastAsia="宋体"/>
                <w:b w:val="0"/>
                <w:sz w:val="19"/>
              </w:rPr>
              <w:t>↑ 高增长</w:t>
            </w:r>
          </w:p>
        </w:tc>
      </w:tr>
      <w:tr>
        <w:tc>
          <w:tcPr>
            <w:tcW w:type="dxa" w:w="2835"/>
            <w:shd w:val="clear" w:fill="EEF3F8"/>
          </w:tcPr>
          <w:p>
            <w:pPr>
              <w:spacing w:after="40" w:before="40"/>
            </w:pPr>
            <w:r/>
            <w:r>
              <w:rPr>
                <w:rFonts w:ascii="宋体" w:hAnsi="宋体" w:eastAsia="宋体"/>
                <w:b w:val="0"/>
                <w:sz w:val="19"/>
              </w:rPr>
              <w:t xml:space="preserve">  同比增速</w:t>
            </w:r>
          </w:p>
        </w:tc>
        <w:tc>
          <w:tcPr>
            <w:tcW w:type="dxa" w:w="1474"/>
            <w:shd w:val="clear" w:fill="EEF3F8"/>
          </w:tcPr>
          <w:p>
            <w:pPr>
              <w:spacing w:after="40" w:before="40"/>
              <w:jc w:val="center"/>
            </w:pPr>
            <w:r/>
            <w:r>
              <w:rPr>
                <w:rFonts w:ascii="宋体" w:hAnsi="宋体" w:eastAsia="宋体"/>
                <w:b w:val="0"/>
                <w:sz w:val="19"/>
              </w:rPr>
              <w:t>+32.5%</w:t>
            </w:r>
          </w:p>
        </w:tc>
        <w:tc>
          <w:tcPr>
            <w:tcW w:type="dxa" w:w="1474"/>
            <w:shd w:val="clear" w:fill="EEF3F8"/>
          </w:tcPr>
          <w:p>
            <w:pPr>
              <w:spacing w:after="40" w:before="40"/>
              <w:jc w:val="center"/>
            </w:pPr>
            <w:r/>
            <w:r>
              <w:rPr>
                <w:rFonts w:ascii="宋体" w:hAnsi="宋体" w:eastAsia="宋体"/>
                <w:b w:val="0"/>
                <w:sz w:val="19"/>
              </w:rPr>
              <w:t>+46.9%</w:t>
            </w:r>
          </w:p>
        </w:tc>
        <w:tc>
          <w:tcPr>
            <w:tcW w:type="dxa" w:w="1474"/>
            <w:shd w:val="clear" w:fill="EEF3F8"/>
          </w:tcPr>
          <w:p>
            <w:pPr>
              <w:spacing w:after="40" w:before="40"/>
              <w:jc w:val="center"/>
            </w:pPr>
            <w:r/>
            <w:r>
              <w:rPr>
                <w:rFonts w:ascii="宋体" w:hAnsi="宋体" w:eastAsia="宋体"/>
                <w:b w:val="0"/>
                <w:sz w:val="19"/>
              </w:rPr>
              <w:t>+23.0%</w:t>
            </w:r>
          </w:p>
        </w:tc>
        <w:tc>
          <w:tcPr>
            <w:tcW w:type="dxa" w:w="1587"/>
            <w:shd w:val="clear" w:fill="EEF3F8"/>
          </w:tcPr>
          <w:p>
            <w:pPr>
              <w:spacing w:after="40" w:before="40"/>
              <w:jc w:val="center"/>
            </w:pPr>
            <w:r/>
            <w:r>
              <w:rPr>
                <w:rFonts w:ascii="宋体" w:hAnsi="宋体" w:eastAsia="宋体"/>
                <w:b w:val="0"/>
                <w:sz w:val="19"/>
              </w:rPr>
              <w:t>快于收入</w:t>
            </w:r>
          </w:p>
        </w:tc>
      </w:tr>
      <w:tr>
        <w:tc>
          <w:tcPr>
            <w:tcW w:type="dxa" w:w="2835"/>
          </w:tcPr>
          <w:p>
            <w:pPr>
              <w:spacing w:after="40" w:before="40"/>
            </w:pPr>
            <w:r/>
            <w:r>
              <w:rPr>
                <w:rFonts w:ascii="宋体" w:hAnsi="宋体" w:eastAsia="宋体"/>
                <w:b w:val="0"/>
                <w:sz w:val="19"/>
              </w:rPr>
              <w:t>净利率 (估算)</w:t>
            </w:r>
          </w:p>
        </w:tc>
        <w:tc>
          <w:tcPr>
            <w:tcW w:type="dxa" w:w="1474"/>
          </w:tcPr>
          <w:p>
            <w:pPr>
              <w:spacing w:after="40" w:before="40"/>
              <w:jc w:val="center"/>
            </w:pPr>
            <w:r/>
            <w:r>
              <w:rPr>
                <w:rFonts w:ascii="宋体" w:hAnsi="宋体" w:eastAsia="宋体"/>
                <w:b w:val="0"/>
                <w:sz w:val="19"/>
              </w:rPr>
              <w:t>≈29%</w:t>
            </w:r>
          </w:p>
        </w:tc>
        <w:tc>
          <w:tcPr>
            <w:tcW w:type="dxa" w:w="1474"/>
          </w:tcPr>
          <w:p>
            <w:pPr>
              <w:spacing w:after="40" w:before="40"/>
              <w:jc w:val="center"/>
            </w:pPr>
            <w:r/>
            <w:r>
              <w:rPr>
                <w:rFonts w:ascii="宋体" w:hAnsi="宋体" w:eastAsia="宋体"/>
                <w:b w:val="0"/>
                <w:sz w:val="19"/>
              </w:rPr>
              <w:t>≈31%</w:t>
            </w:r>
          </w:p>
        </w:tc>
        <w:tc>
          <w:tcPr>
            <w:tcW w:type="dxa" w:w="1474"/>
          </w:tcPr>
          <w:p>
            <w:pPr>
              <w:spacing w:after="40" w:before="40"/>
              <w:jc w:val="center"/>
            </w:pPr>
            <w:r/>
            <w:r>
              <w:rPr>
                <w:rFonts w:ascii="宋体" w:hAnsi="宋体" w:eastAsia="宋体"/>
                <w:b w:val="0"/>
                <w:sz w:val="19"/>
              </w:rPr>
              <w:t>≈29%</w:t>
            </w:r>
          </w:p>
        </w:tc>
        <w:tc>
          <w:tcPr>
            <w:tcW w:type="dxa" w:w="1587"/>
          </w:tcPr>
          <w:p>
            <w:pPr>
              <w:spacing w:after="40" w:before="40"/>
              <w:jc w:val="center"/>
            </w:pPr>
            <w:r/>
            <w:r>
              <w:rPr>
                <w:rFonts w:ascii="宋体" w:hAnsi="宋体" w:eastAsia="宋体"/>
                <w:b w:val="0"/>
                <w:sz w:val="19"/>
              </w:rPr>
              <w:t>高位</w:t>
            </w:r>
          </w:p>
        </w:tc>
      </w:tr>
      <w:tr>
        <w:tc>
          <w:tcPr>
            <w:tcW w:type="dxa" w:w="2835"/>
            <w:shd w:val="clear" w:fill="EEF3F8"/>
          </w:tcPr>
          <w:p>
            <w:pPr>
              <w:spacing w:after="40" w:before="40"/>
            </w:pPr>
            <w:r/>
            <w:r>
              <w:rPr>
                <w:rFonts w:ascii="宋体" w:hAnsi="宋体" w:eastAsia="宋体"/>
                <w:b w:val="0"/>
                <w:sz w:val="19"/>
              </w:rPr>
              <w:t>全球 CMP 抛光液市占率</w:t>
            </w:r>
          </w:p>
        </w:tc>
        <w:tc>
          <w:tcPr>
            <w:tcW w:type="dxa" w:w="1474"/>
            <w:shd w:val="clear" w:fill="EEF3F8"/>
          </w:tcPr>
          <w:p>
            <w:pPr>
              <w:spacing w:after="40" w:before="40"/>
              <w:jc w:val="center"/>
            </w:pPr>
            <w:r/>
            <w:r>
              <w:rPr>
                <w:rFonts w:ascii="宋体" w:hAnsi="宋体" w:eastAsia="宋体"/>
                <w:b w:val="0"/>
                <w:sz w:val="19"/>
              </w:rPr>
              <w:t>≈10%</w:t>
            </w:r>
          </w:p>
        </w:tc>
        <w:tc>
          <w:tcPr>
            <w:tcW w:type="dxa" w:w="1474"/>
            <w:shd w:val="clear" w:fill="EEF3F8"/>
          </w:tcPr>
          <w:p>
            <w:pPr>
              <w:spacing w:after="40" w:before="40"/>
              <w:jc w:val="center"/>
            </w:pPr>
            <w:r/>
            <w:r>
              <w:rPr>
                <w:rFonts w:ascii="宋体" w:hAnsi="宋体" w:eastAsia="宋体"/>
                <w:b w:val="0"/>
                <w:sz w:val="19"/>
              </w:rPr>
              <w:t>≈11%→13%</w:t>
            </w:r>
          </w:p>
        </w:tc>
        <w:tc>
          <w:tcPr>
            <w:tcW w:type="dxa" w:w="1474"/>
            <w:shd w:val="clear" w:fill="EEF3F8"/>
          </w:tcPr>
          <w:p>
            <w:pPr>
              <w:spacing w:after="40" w:before="40"/>
              <w:jc w:val="center"/>
            </w:pPr>
            <w:r/>
            <w:r>
              <w:rPr>
                <w:rFonts w:ascii="宋体" w:hAnsi="宋体" w:eastAsia="宋体"/>
                <w:b w:val="0"/>
                <w:sz w:val="19"/>
              </w:rPr>
              <w:t>≈13%</w:t>
            </w:r>
          </w:p>
        </w:tc>
        <w:tc>
          <w:tcPr>
            <w:tcW w:type="dxa" w:w="1587"/>
            <w:shd w:val="clear" w:fill="EEF3F8"/>
          </w:tcPr>
          <w:p>
            <w:pPr>
              <w:spacing w:after="40" w:before="40"/>
              <w:jc w:val="center"/>
            </w:pPr>
            <w:r/>
            <w:r>
              <w:rPr>
                <w:rFonts w:ascii="宋体" w:hAnsi="宋体" w:eastAsia="宋体"/>
                <w:b w:val="0"/>
                <w:sz w:val="19"/>
              </w:rPr>
              <w:t>↑ 持续提升</w:t>
            </w:r>
          </w:p>
        </w:tc>
      </w:tr>
    </w:tbl>
    <w:p>
      <w:pPr>
        <w:spacing w:before="60" w:after="40"/>
      </w:pPr>
      <w:r>
        <w:rPr>
          <w:rFonts w:ascii="宋体" w:hAnsi="宋体" w:eastAsia="宋体"/>
          <w:b w:val="0"/>
          <w:i w:val="0"/>
          <w:color w:val="7A7A7A"/>
          <w:sz w:val="16"/>
        </w:rPr>
        <w:t>注：净利率为根据营收与归母净利估算；市占率来自 TECHCET 测算口径，券商调研引用。2025 年报扣非净利、毛利率绝对值、研发费用率等细项以公司年报为准。</w:t>
      </w:r>
    </w:p>
    <w:p>
      <w:r>
        <w:br w:type="page"/>
      </w:r>
    </w:p>
    <w:p>
      <w:pPr>
        <w:spacing w:before="320" w:after="160"/>
        <w:pBdr>
          <w:bottom w:val="single" w:sz="6" w:space="4" w:color="1F3A5F"/>
        </w:pBdr>
      </w:pPr>
      <w:r>
        <w:rPr>
          <w:rFonts w:ascii="微软雅黑" w:hAnsi="微软雅黑" w:eastAsia="微软雅黑"/>
          <w:b/>
          <w:color w:val="1F3A5F"/>
          <w:sz w:val="30"/>
        </w:rPr>
        <w:t>01  公司概览与商业模式</w:t>
      </w:r>
    </w:p>
    <w:p>
      <w:pPr>
        <w:spacing w:before="220" w:after="100"/>
      </w:pPr>
      <w:r>
        <w:rPr>
          <w:rFonts w:ascii="微软雅黑" w:hAnsi="微软雅黑" w:eastAsia="微软雅黑"/>
          <w:b/>
          <w:color w:val="2E6DA4"/>
          <w:sz w:val="24"/>
        </w:rPr>
        <w:t>1.1 公司定位</w:t>
      </w:r>
    </w:p>
    <w:p>
      <w:pPr>
        <w:spacing w:after="120"/>
        <w:ind w:firstLine="420"/>
      </w:pPr>
      <w:r>
        <w:rPr>
          <w:rFonts w:ascii="宋体" w:hAnsi="宋体" w:eastAsia="宋体"/>
          <w:b w:val="0"/>
          <w:i w:val="0"/>
          <w:sz w:val="21"/>
        </w:rPr>
        <w:t>安集微电子科技（上海）股份有限公司成立后专注于半导体材料中"化学"环节的核心耗材，是国内化学机械抛光（CMP）抛光液的绝对龙头，2019 年作为首批企业登陆科创板（688019）。公司的核心逻辑是：在半导体制造最依赖进口、技术壁垒最高的"湿法化学材料"领域做国产替代，并以 CMP 抛光液为根据地，横向扩张到电镀液、清洗液等功能性湿电子化学品，形成"3+1"产品平台。</w:t>
      </w:r>
    </w:p>
    <w:p>
      <w:pPr>
        <w:spacing w:before="220" w:after="100"/>
      </w:pPr>
      <w:r>
        <w:rPr>
          <w:rFonts w:ascii="微软雅黑" w:hAnsi="微软雅黑" w:eastAsia="微软雅黑"/>
          <w:b/>
          <w:color w:val="2E6DA4"/>
          <w:sz w:val="24"/>
        </w:rPr>
        <w:t>1.2 "3+1" 产品平台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41"/>
            <w:shd w:val="clear" w:fill="1F3A5F"/>
          </w:tcPr>
          <w:p>
            <w:pPr>
              <w:spacing w:after="40" w:before="40"/>
              <w:jc w:val="center"/>
            </w:pPr>
            <w:r/>
            <w:r>
              <w:rPr>
                <w:rFonts w:ascii="微软雅黑" w:hAnsi="微软雅黑" w:eastAsia="微软雅黑"/>
                <w:b/>
                <w:color w:val="FFFFFF"/>
                <w:sz w:val="19"/>
              </w:rPr>
              <w:t>产品线</w:t>
            </w:r>
          </w:p>
        </w:tc>
        <w:tc>
          <w:tcPr>
            <w:tcW w:type="dxa" w:w="2948"/>
            <w:shd w:val="clear" w:fill="1F3A5F"/>
          </w:tcPr>
          <w:p>
            <w:pPr>
              <w:spacing w:after="40" w:before="40"/>
              <w:jc w:val="center"/>
            </w:pPr>
            <w:r/>
            <w:r>
              <w:rPr>
                <w:rFonts w:ascii="微软雅黑" w:hAnsi="微软雅黑" w:eastAsia="微软雅黑"/>
                <w:b/>
                <w:color w:val="FFFFFF"/>
                <w:sz w:val="19"/>
              </w:rPr>
              <w:t>用途</w:t>
            </w:r>
          </w:p>
        </w:tc>
        <w:tc>
          <w:tcPr>
            <w:tcW w:type="dxa" w:w="2381"/>
            <w:shd w:val="clear" w:fill="1F3A5F"/>
          </w:tcPr>
          <w:p>
            <w:pPr>
              <w:spacing w:after="40" w:before="40"/>
              <w:jc w:val="center"/>
            </w:pPr>
            <w:r/>
            <w:r>
              <w:rPr>
                <w:rFonts w:ascii="微软雅黑" w:hAnsi="微软雅黑" w:eastAsia="微软雅黑"/>
                <w:b/>
                <w:color w:val="FFFFFF"/>
                <w:sz w:val="19"/>
              </w:rPr>
              <w:t>竞争地位</w:t>
            </w:r>
          </w:p>
        </w:tc>
        <w:tc>
          <w:tcPr>
            <w:tcW w:type="dxa" w:w="1134"/>
            <w:shd w:val="clear" w:fill="1F3A5F"/>
          </w:tcPr>
          <w:p>
            <w:pPr>
              <w:spacing w:after="40" w:before="40"/>
              <w:jc w:val="center"/>
            </w:pPr>
            <w:r/>
            <w:r>
              <w:rPr>
                <w:rFonts w:ascii="微软雅黑" w:hAnsi="微软雅黑" w:eastAsia="微软雅黑"/>
                <w:b/>
                <w:color w:val="FFFFFF"/>
                <w:sz w:val="19"/>
              </w:rPr>
              <w:t>阶段</w:t>
            </w:r>
          </w:p>
        </w:tc>
      </w:tr>
      <w:tr>
        <w:tc>
          <w:tcPr>
            <w:tcW w:type="dxa" w:w="2041"/>
          </w:tcPr>
          <w:p>
            <w:pPr>
              <w:spacing w:after="40" w:before="40"/>
            </w:pPr>
            <w:r/>
            <w:r>
              <w:rPr>
                <w:rFonts w:ascii="宋体" w:hAnsi="宋体" w:eastAsia="宋体"/>
                <w:b w:val="0"/>
                <w:sz w:val="19"/>
              </w:rPr>
              <w:t>CMP 抛光液</w:t>
            </w:r>
          </w:p>
        </w:tc>
        <w:tc>
          <w:tcPr>
            <w:tcW w:type="dxa" w:w="2948"/>
          </w:tcPr>
          <w:p>
            <w:pPr>
              <w:spacing w:after="40" w:before="40"/>
              <w:jc w:val="center"/>
            </w:pPr>
            <w:r/>
            <w:r>
              <w:rPr>
                <w:rFonts w:ascii="宋体" w:hAnsi="宋体" w:eastAsia="宋体"/>
                <w:b w:val="0"/>
                <w:sz w:val="19"/>
              </w:rPr>
              <w:t>芯片制造平坦化的核心耗材，逐层抛光铜/钨/介质层</w:t>
            </w:r>
          </w:p>
        </w:tc>
        <w:tc>
          <w:tcPr>
            <w:tcW w:type="dxa" w:w="2381"/>
          </w:tcPr>
          <w:p>
            <w:pPr>
              <w:spacing w:after="40" w:before="40"/>
              <w:jc w:val="center"/>
            </w:pPr>
            <w:r/>
            <w:r>
              <w:rPr>
                <w:rFonts w:ascii="宋体" w:hAnsi="宋体" w:eastAsia="宋体"/>
                <w:b w:val="0"/>
                <w:sz w:val="19"/>
              </w:rPr>
              <w:t>国内龙头，全球约 13%</w:t>
            </w:r>
          </w:p>
        </w:tc>
        <w:tc>
          <w:tcPr>
            <w:tcW w:type="dxa" w:w="1134"/>
          </w:tcPr>
          <w:p>
            <w:pPr>
              <w:spacing w:after="40" w:before="40"/>
              <w:jc w:val="center"/>
            </w:pPr>
            <w:r/>
            <w:r>
              <w:rPr>
                <w:rFonts w:ascii="宋体" w:hAnsi="宋体" w:eastAsia="宋体"/>
                <w:b w:val="0"/>
                <w:sz w:val="19"/>
              </w:rPr>
              <w:t>成熟·放量</w:t>
            </w:r>
          </w:p>
        </w:tc>
      </w:tr>
      <w:tr>
        <w:tc>
          <w:tcPr>
            <w:tcW w:type="dxa" w:w="2041"/>
            <w:shd w:val="clear" w:fill="EEF3F8"/>
          </w:tcPr>
          <w:p>
            <w:pPr>
              <w:spacing w:after="40" w:before="40"/>
            </w:pPr>
            <w:r/>
            <w:r>
              <w:rPr>
                <w:rFonts w:ascii="宋体" w:hAnsi="宋体" w:eastAsia="宋体"/>
                <w:b w:val="0"/>
                <w:sz w:val="19"/>
              </w:rPr>
              <w:t>功能性湿电子化学品</w:t>
            </w:r>
          </w:p>
        </w:tc>
        <w:tc>
          <w:tcPr>
            <w:tcW w:type="dxa" w:w="2948"/>
            <w:shd w:val="clear" w:fill="EEF3F8"/>
          </w:tcPr>
          <w:p>
            <w:pPr>
              <w:spacing w:after="40" w:before="40"/>
              <w:jc w:val="center"/>
            </w:pPr>
            <w:r/>
            <w:r>
              <w:rPr>
                <w:rFonts w:ascii="宋体" w:hAnsi="宋体" w:eastAsia="宋体"/>
                <w:b w:val="0"/>
                <w:sz w:val="19"/>
              </w:rPr>
              <w:t>光刻、刻蚀、清洗等环节用高纯化学品</w:t>
            </w:r>
          </w:p>
        </w:tc>
        <w:tc>
          <w:tcPr>
            <w:tcW w:type="dxa" w:w="2381"/>
            <w:shd w:val="clear" w:fill="EEF3F8"/>
          </w:tcPr>
          <w:p>
            <w:pPr>
              <w:spacing w:after="40" w:before="40"/>
              <w:jc w:val="center"/>
            </w:pPr>
            <w:r/>
            <w:r>
              <w:rPr>
                <w:rFonts w:ascii="宋体" w:hAnsi="宋体" w:eastAsia="宋体"/>
                <w:b w:val="0"/>
                <w:sz w:val="19"/>
              </w:rPr>
              <w:t>高速成长，毛利率提升</w:t>
            </w:r>
          </w:p>
        </w:tc>
        <w:tc>
          <w:tcPr>
            <w:tcW w:type="dxa" w:w="1134"/>
            <w:shd w:val="clear" w:fill="EEF3F8"/>
          </w:tcPr>
          <w:p>
            <w:pPr>
              <w:spacing w:after="40" w:before="40"/>
              <w:jc w:val="center"/>
            </w:pPr>
            <w:r/>
            <w:r>
              <w:rPr>
                <w:rFonts w:ascii="宋体" w:hAnsi="宋体" w:eastAsia="宋体"/>
                <w:b w:val="0"/>
                <w:sz w:val="19"/>
              </w:rPr>
              <w:t>成长</w:t>
            </w:r>
          </w:p>
        </w:tc>
      </w:tr>
      <w:tr>
        <w:tc>
          <w:tcPr>
            <w:tcW w:type="dxa" w:w="2041"/>
          </w:tcPr>
          <w:p>
            <w:pPr>
              <w:spacing w:after="40" w:before="40"/>
            </w:pPr>
            <w:r/>
            <w:r>
              <w:rPr>
                <w:rFonts w:ascii="宋体" w:hAnsi="宋体" w:eastAsia="宋体"/>
                <w:b w:val="0"/>
                <w:sz w:val="19"/>
              </w:rPr>
              <w:t>电镀液 (铜互连/先进封装)</w:t>
            </w:r>
          </w:p>
        </w:tc>
        <w:tc>
          <w:tcPr>
            <w:tcW w:type="dxa" w:w="2948"/>
          </w:tcPr>
          <w:p>
            <w:pPr>
              <w:spacing w:after="40" w:before="40"/>
              <w:jc w:val="center"/>
            </w:pPr>
            <w:r/>
            <w:r>
              <w:rPr>
                <w:rFonts w:ascii="宋体" w:hAnsi="宋体" w:eastAsia="宋体"/>
                <w:b w:val="0"/>
                <w:sz w:val="19"/>
              </w:rPr>
              <w:t>大马士革工艺铜互连、先进封装电镀</w:t>
            </w:r>
          </w:p>
        </w:tc>
        <w:tc>
          <w:tcPr>
            <w:tcW w:type="dxa" w:w="2381"/>
          </w:tcPr>
          <w:p>
            <w:pPr>
              <w:spacing w:after="40" w:before="40"/>
              <w:jc w:val="center"/>
            </w:pPr>
            <w:r/>
            <w:r>
              <w:rPr>
                <w:rFonts w:ascii="宋体" w:hAnsi="宋体" w:eastAsia="宋体"/>
                <w:b w:val="0"/>
                <w:sz w:val="19"/>
              </w:rPr>
              <w:t>国产突破，2026Q1 量产</w:t>
            </w:r>
          </w:p>
        </w:tc>
        <w:tc>
          <w:tcPr>
            <w:tcW w:type="dxa" w:w="1134"/>
          </w:tcPr>
          <w:p>
            <w:pPr>
              <w:spacing w:after="40" w:before="40"/>
              <w:jc w:val="center"/>
            </w:pPr>
            <w:r/>
            <w:r>
              <w:rPr>
                <w:rFonts w:ascii="宋体" w:hAnsi="宋体" w:eastAsia="宋体"/>
                <w:b w:val="0"/>
                <w:sz w:val="19"/>
              </w:rPr>
              <w:t>0→1 落地</w:t>
            </w:r>
          </w:p>
        </w:tc>
      </w:tr>
      <w:tr>
        <w:tc>
          <w:tcPr>
            <w:tcW w:type="dxa" w:w="2041"/>
            <w:shd w:val="clear" w:fill="EEF3F8"/>
          </w:tcPr>
          <w:p>
            <w:pPr>
              <w:spacing w:after="40" w:before="40"/>
            </w:pPr>
            <w:r/>
            <w:r>
              <w:rPr>
                <w:rFonts w:ascii="宋体" w:hAnsi="宋体" w:eastAsia="宋体"/>
                <w:b w:val="0"/>
                <w:sz w:val="19"/>
              </w:rPr>
              <w:t>+1 自研磨料</w:t>
            </w:r>
          </w:p>
        </w:tc>
        <w:tc>
          <w:tcPr>
            <w:tcW w:type="dxa" w:w="2948"/>
            <w:shd w:val="clear" w:fill="EEF3F8"/>
          </w:tcPr>
          <w:p>
            <w:pPr>
              <w:spacing w:after="40" w:before="40"/>
              <w:jc w:val="center"/>
            </w:pPr>
            <w:r/>
            <w:r>
              <w:rPr>
                <w:rFonts w:ascii="宋体" w:hAnsi="宋体" w:eastAsia="宋体"/>
                <w:b w:val="0"/>
                <w:sz w:val="19"/>
              </w:rPr>
              <w:t>抛光液上游核心原料，自供降本+性能差异化</w:t>
            </w:r>
          </w:p>
        </w:tc>
        <w:tc>
          <w:tcPr>
            <w:tcW w:type="dxa" w:w="2381"/>
            <w:shd w:val="clear" w:fill="EEF3F8"/>
          </w:tcPr>
          <w:p>
            <w:pPr>
              <w:spacing w:after="40" w:before="40"/>
              <w:jc w:val="center"/>
            </w:pPr>
            <w:r/>
            <w:r>
              <w:rPr>
                <w:rFonts w:ascii="宋体" w:hAnsi="宋体" w:eastAsia="宋体"/>
                <w:b w:val="0"/>
                <w:sz w:val="19"/>
              </w:rPr>
              <w:t>多款抛光液已用自研磨料</w:t>
            </w:r>
          </w:p>
        </w:tc>
        <w:tc>
          <w:tcPr>
            <w:tcW w:type="dxa" w:w="1134"/>
            <w:shd w:val="clear" w:fill="EEF3F8"/>
          </w:tcPr>
          <w:p>
            <w:pPr>
              <w:spacing w:after="40" w:before="40"/>
              <w:jc w:val="center"/>
            </w:pPr>
            <w:r/>
            <w:r>
              <w:rPr>
                <w:rFonts w:ascii="宋体" w:hAnsi="宋体" w:eastAsia="宋体"/>
                <w:b w:val="0"/>
                <w:sz w:val="19"/>
              </w:rPr>
              <w:t>纵向一体化</w:t>
            </w:r>
          </w:p>
        </w:tc>
      </w:tr>
    </w:tbl>
    <w:p>
      <w:pPr>
        <w:spacing w:after="120"/>
        <w:ind w:firstLine="420"/>
      </w:pPr>
      <w:r>
        <w:rPr>
          <w:rFonts w:ascii="宋体" w:hAnsi="宋体" w:eastAsia="宋体"/>
          <w:b w:val="0"/>
          <w:i w:val="0"/>
          <w:sz w:val="21"/>
        </w:rPr>
        <w:t>"+1"指向上游磨料的自研自供。磨料是抛光液性能与成本的命门，长期被海外把控；安集多款抛光液已切换为自研磨料，既是毛利率改善的来源，也是技术护城河的延伸。</w:t>
      </w:r>
    </w:p>
    <w:p>
      <w:pPr>
        <w:spacing w:before="220" w:after="100"/>
      </w:pPr>
      <w:r>
        <w:rPr>
          <w:rFonts w:ascii="微软雅黑" w:hAnsi="微软雅黑" w:eastAsia="微软雅黑"/>
          <w:b/>
          <w:color w:val="2E6DA4"/>
          <w:sz w:val="24"/>
        </w:rPr>
        <w:t>1.3 下游客户与绑定关系</w:t>
      </w:r>
    </w:p>
    <w:p>
      <w:pPr>
        <w:spacing w:after="120"/>
        <w:ind w:firstLine="420"/>
      </w:pPr>
      <w:r>
        <w:rPr>
          <w:rFonts w:ascii="宋体" w:hAnsi="宋体" w:eastAsia="宋体"/>
          <w:b w:val="0"/>
          <w:i w:val="0"/>
          <w:sz w:val="21"/>
        </w:rPr>
        <w:t>公司最大客户为中芯国际，并覆盖国内主流晶圆厂与存储厂（长江存储等）的供应链。深度绑定头部 Fab 是双刃剑：一方面随客户扩产与制程升级共同成长、认证壁垒高，另一方面客户集中度偏高，单一客户资本开支波动会放大业绩弹性。CMP 材料一旦通过 Fab 的产线认证，替换成本极高、粘性极强——这是安集收入可预测性的根本来源。</w:t>
      </w:r>
    </w:p>
    <w:p>
      <w:r>
        <w:br w:type="page"/>
      </w:r>
    </w:p>
    <w:p>
      <w:pPr>
        <w:spacing w:before="320" w:after="160"/>
        <w:pBdr>
          <w:bottom w:val="single" w:sz="6" w:space="4" w:color="1F3A5F"/>
        </w:pBdr>
      </w:pPr>
      <w:r>
        <w:rPr>
          <w:rFonts w:ascii="微软雅黑" w:hAnsi="微软雅黑" w:eastAsia="微软雅黑"/>
          <w:b/>
          <w:color w:val="1F3A5F"/>
          <w:sz w:val="30"/>
        </w:rPr>
        <w:t>02  核心竞争力与稀缺性：与海内外同行的对比</w:t>
      </w:r>
    </w:p>
    <w:p>
      <w:pPr>
        <w:spacing w:before="220" w:after="100"/>
      </w:pPr>
      <w:r>
        <w:rPr>
          <w:rFonts w:ascii="微软雅黑" w:hAnsi="微软雅黑" w:eastAsia="微软雅黑"/>
          <w:b/>
          <w:color w:val="2E6DA4"/>
          <w:sz w:val="24"/>
        </w:rPr>
        <w:t>2.1 CMP 抛光液：为什么这是一门"难做"的生意</w:t>
      </w:r>
    </w:p>
    <w:p>
      <w:pPr>
        <w:spacing w:after="120"/>
        <w:ind w:firstLine="420"/>
      </w:pPr>
      <w:r>
        <w:rPr>
          <w:rFonts w:ascii="宋体" w:hAnsi="宋体" w:eastAsia="宋体"/>
          <w:b w:val="0"/>
          <w:i w:val="0"/>
          <w:sz w:val="21"/>
        </w:rPr>
        <w:t>CMP（化学机械抛光）是芯片制造中实现纳米级平坦化的关键工序，抛光液则是其中最核心的消耗品。它的技术壁垒体现在四个层面，也正是后来者难以逾越的护城河：</w:t>
      </w:r>
    </w:p>
    <w:p>
      <w:pPr>
        <w:pStyle w:val="ListBullet"/>
        <w:spacing w:after="60"/>
      </w:pPr>
      <w:r>
        <w:rPr>
          <w:rFonts w:ascii="宋体" w:hAnsi="宋体" w:eastAsia="宋体"/>
          <w:b/>
          <w:color w:val="1F3A5F"/>
          <w:sz w:val="21"/>
        </w:rPr>
        <w:t>颗粒粒径分布、形貌与表面化学需精确控制，直接决定去除速率与表面缺陷，规模化下的一致性极难保证。</w:t>
      </w:r>
      <w:r>
        <w:rPr>
          <w:rFonts w:ascii="宋体" w:hAnsi="宋体" w:eastAsia="宋体"/>
          <w:sz w:val="21"/>
        </w:rPr>
        <w:t>磨料颗粒工程：</w:t>
      </w:r>
    </w:p>
    <w:p>
      <w:pPr>
        <w:pStyle w:val="ListBullet"/>
        <w:spacing w:after="60"/>
      </w:pPr>
      <w:r>
        <w:rPr>
          <w:rFonts w:ascii="宋体" w:hAnsi="宋体" w:eastAsia="宋体"/>
          <w:b/>
          <w:color w:val="1F3A5F"/>
          <w:sz w:val="21"/>
        </w:rPr>
        <w:t>磨料、氧化剂、pH 缓冲、缓蚀剂、稳定剂多组分协同，微小偏差即破坏稳定性。</w:t>
      </w:r>
      <w:r>
        <w:rPr>
          <w:rFonts w:ascii="宋体" w:hAnsi="宋体" w:eastAsia="宋体"/>
          <w:sz w:val="21"/>
        </w:rPr>
        <w:t>配方复杂度：</w:t>
      </w:r>
    </w:p>
    <w:p>
      <w:pPr>
        <w:pStyle w:val="ListBullet"/>
        <w:spacing w:after="60"/>
      </w:pPr>
      <w:r>
        <w:rPr>
          <w:rFonts w:ascii="宋体" w:hAnsi="宋体" w:eastAsia="宋体"/>
          <w:b/>
          <w:color w:val="1F3A5F"/>
          <w:sz w:val="21"/>
        </w:rPr>
        <w:t>铜、钨、介质层、阻挡层各需不同抛光化学，先进节点要求极高选择性以避免缺陷。</w:t>
      </w:r>
      <w:r>
        <w:rPr>
          <w:rFonts w:ascii="宋体" w:hAnsi="宋体" w:eastAsia="宋体"/>
          <w:sz w:val="21"/>
        </w:rPr>
        <w:t>材料选择性：</w:t>
      </w:r>
    </w:p>
    <w:p>
      <w:pPr>
        <w:pStyle w:val="ListBullet"/>
        <w:spacing w:after="60"/>
      </w:pPr>
      <w:r>
        <w:rPr>
          <w:rFonts w:ascii="宋体" w:hAnsi="宋体" w:eastAsia="宋体"/>
          <w:b/>
          <w:color w:val="1F3A5F"/>
          <w:sz w:val="21"/>
        </w:rPr>
        <w:t>每进一个节点（14nm→7nm→5nm→3nm/2nm）都需重新开发配方，认证周期长达 1–2 年。</w:t>
      </w:r>
      <w:r>
        <w:rPr>
          <w:rFonts w:ascii="宋体" w:hAnsi="宋体" w:eastAsia="宋体"/>
          <w:sz w:val="21"/>
        </w:rPr>
        <w:t>节点适配：</w:t>
      </w:r>
    </w:p>
    <w:p>
      <w:pPr>
        <w:spacing w:after="120"/>
        <w:ind w:firstLine="420"/>
      </w:pPr>
      <w:r>
        <w:rPr>
          <w:rFonts w:ascii="宋体" w:hAnsi="宋体" w:eastAsia="宋体"/>
          <w:b w:val="0"/>
          <w:i w:val="0"/>
          <w:sz w:val="21"/>
        </w:rPr>
        <w:t>正因如此，全球 CMP 抛光液长期由少数海外巨头垄断，新进入者必须同时跨越"技术 + 认证 + 客户信任"三重门槛。</w:t>
      </w:r>
    </w:p>
    <w:p>
      <w:pPr>
        <w:spacing w:before="220" w:after="100"/>
      </w:pPr>
      <w:r>
        <w:rPr>
          <w:rFonts w:ascii="微软雅黑" w:hAnsi="微软雅黑" w:eastAsia="微软雅黑"/>
          <w:b/>
          <w:color w:val="2E6DA4"/>
          <w:sz w:val="24"/>
        </w:rPr>
        <w:t>2.2 全球竞争格局与安集的位置</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608"/>
            <w:shd w:val="clear" w:fill="1F3A5F"/>
          </w:tcPr>
          <w:p>
            <w:pPr>
              <w:spacing w:after="40" w:before="40"/>
              <w:jc w:val="center"/>
            </w:pPr>
            <w:r/>
            <w:r>
              <w:rPr>
                <w:rFonts w:ascii="微软雅黑" w:hAnsi="微软雅黑" w:eastAsia="微软雅黑"/>
                <w:b/>
                <w:color w:val="FFFFFF"/>
                <w:sz w:val="19"/>
              </w:rPr>
              <w:t>厂商</w:t>
            </w:r>
          </w:p>
        </w:tc>
        <w:tc>
          <w:tcPr>
            <w:tcW w:type="dxa" w:w="2154"/>
            <w:shd w:val="clear" w:fill="1F3A5F"/>
          </w:tcPr>
          <w:p>
            <w:pPr>
              <w:spacing w:after="40" w:before="40"/>
              <w:jc w:val="center"/>
            </w:pPr>
            <w:r/>
            <w:r>
              <w:rPr>
                <w:rFonts w:ascii="微软雅黑" w:hAnsi="微软雅黑" w:eastAsia="微软雅黑"/>
                <w:b/>
                <w:color w:val="FFFFFF"/>
                <w:sz w:val="19"/>
              </w:rPr>
              <w:t>归属/背景</w:t>
            </w:r>
          </w:p>
        </w:tc>
        <w:tc>
          <w:tcPr>
            <w:tcW w:type="dxa" w:w="2381"/>
            <w:shd w:val="clear" w:fill="1F3A5F"/>
          </w:tcPr>
          <w:p>
            <w:pPr>
              <w:spacing w:after="40" w:before="40"/>
              <w:jc w:val="center"/>
            </w:pPr>
            <w:r/>
            <w:r>
              <w:rPr>
                <w:rFonts w:ascii="微软雅黑" w:hAnsi="微软雅黑" w:eastAsia="微软雅黑"/>
                <w:b/>
                <w:color w:val="FFFFFF"/>
                <w:sz w:val="19"/>
              </w:rPr>
              <w:t>地位</w:t>
            </w:r>
          </w:p>
        </w:tc>
        <w:tc>
          <w:tcPr>
            <w:tcW w:type="dxa" w:w="1361"/>
            <w:shd w:val="clear" w:fill="1F3A5F"/>
          </w:tcPr>
          <w:p>
            <w:pPr>
              <w:spacing w:after="40" w:before="40"/>
              <w:jc w:val="center"/>
            </w:pPr>
            <w:r/>
            <w:r>
              <w:rPr>
                <w:rFonts w:ascii="微软雅黑" w:hAnsi="微软雅黑" w:eastAsia="微软雅黑"/>
                <w:b/>
                <w:color w:val="FFFFFF"/>
                <w:sz w:val="19"/>
              </w:rPr>
              <w:t>相对安集</w:t>
            </w:r>
          </w:p>
        </w:tc>
      </w:tr>
      <w:tr>
        <w:tc>
          <w:tcPr>
            <w:tcW w:type="dxa" w:w="2608"/>
          </w:tcPr>
          <w:p>
            <w:pPr>
              <w:spacing w:after="40" w:before="40"/>
            </w:pPr>
            <w:r/>
            <w:r>
              <w:rPr>
                <w:rFonts w:ascii="宋体" w:hAnsi="宋体" w:eastAsia="宋体"/>
                <w:b w:val="0"/>
                <w:sz w:val="19"/>
              </w:rPr>
              <w:t>Entegris (原 CMC Materials)</w:t>
            </w:r>
          </w:p>
        </w:tc>
        <w:tc>
          <w:tcPr>
            <w:tcW w:type="dxa" w:w="2154"/>
          </w:tcPr>
          <w:p>
            <w:pPr>
              <w:spacing w:after="40" w:before="40"/>
              <w:jc w:val="center"/>
            </w:pPr>
            <w:r/>
            <w:r>
              <w:rPr>
                <w:rFonts w:ascii="宋体" w:hAnsi="宋体" w:eastAsia="宋体"/>
                <w:b w:val="0"/>
                <w:sz w:val="19"/>
              </w:rPr>
              <w:t>美国，2022 年完成对 CMC 收购</w:t>
            </w:r>
          </w:p>
        </w:tc>
        <w:tc>
          <w:tcPr>
            <w:tcW w:type="dxa" w:w="2381"/>
          </w:tcPr>
          <w:p>
            <w:pPr>
              <w:spacing w:after="40" w:before="40"/>
              <w:jc w:val="center"/>
            </w:pPr>
            <w:r/>
            <w:r>
              <w:rPr>
                <w:rFonts w:ascii="宋体" w:hAnsi="宋体" w:eastAsia="宋体"/>
                <w:b w:val="0"/>
                <w:sz w:val="19"/>
              </w:rPr>
              <w:t>全球绝对龙头，多节点成熟量产</w:t>
            </w:r>
          </w:p>
        </w:tc>
        <w:tc>
          <w:tcPr>
            <w:tcW w:type="dxa" w:w="1361"/>
          </w:tcPr>
          <w:p>
            <w:pPr>
              <w:spacing w:after="40" w:before="40"/>
              <w:jc w:val="center"/>
            </w:pPr>
            <w:r/>
            <w:r>
              <w:rPr>
                <w:rFonts w:ascii="宋体" w:hAnsi="宋体" w:eastAsia="宋体"/>
                <w:b w:val="0"/>
                <w:sz w:val="19"/>
              </w:rPr>
              <w:t>安集主要追赶对象</w:t>
            </w:r>
          </w:p>
        </w:tc>
      </w:tr>
      <w:tr>
        <w:tc>
          <w:tcPr>
            <w:tcW w:type="dxa" w:w="2608"/>
            <w:shd w:val="clear" w:fill="EEF3F8"/>
          </w:tcPr>
          <w:p>
            <w:pPr>
              <w:spacing w:after="40" w:before="40"/>
            </w:pPr>
            <w:r/>
            <w:r>
              <w:rPr>
                <w:rFonts w:ascii="宋体" w:hAnsi="宋体" w:eastAsia="宋体"/>
                <w:b w:val="0"/>
                <w:sz w:val="19"/>
              </w:rPr>
              <w:t>默克 / Versum</w:t>
            </w:r>
          </w:p>
        </w:tc>
        <w:tc>
          <w:tcPr>
            <w:tcW w:type="dxa" w:w="2154"/>
            <w:shd w:val="clear" w:fill="EEF3F8"/>
          </w:tcPr>
          <w:p>
            <w:pPr>
              <w:spacing w:after="40" w:before="40"/>
              <w:jc w:val="center"/>
            </w:pPr>
            <w:r/>
            <w:r>
              <w:rPr>
                <w:rFonts w:ascii="宋体" w:hAnsi="宋体" w:eastAsia="宋体"/>
                <w:b w:val="0"/>
                <w:sz w:val="19"/>
              </w:rPr>
              <w:t>德国默克收购 Versum</w:t>
            </w:r>
          </w:p>
        </w:tc>
        <w:tc>
          <w:tcPr>
            <w:tcW w:type="dxa" w:w="2381"/>
            <w:shd w:val="clear" w:fill="EEF3F8"/>
          </w:tcPr>
          <w:p>
            <w:pPr>
              <w:spacing w:after="40" w:before="40"/>
              <w:jc w:val="center"/>
            </w:pPr>
            <w:r/>
            <w:r>
              <w:rPr>
                <w:rFonts w:ascii="宋体" w:hAnsi="宋体" w:eastAsia="宋体"/>
                <w:b w:val="0"/>
                <w:sz w:val="19"/>
              </w:rPr>
              <w:t>全球第一梯队，电子材料全平台</w:t>
            </w:r>
          </w:p>
        </w:tc>
        <w:tc>
          <w:tcPr>
            <w:tcW w:type="dxa" w:w="1361"/>
            <w:shd w:val="clear" w:fill="EEF3F8"/>
          </w:tcPr>
          <w:p>
            <w:pPr>
              <w:spacing w:after="40" w:before="40"/>
              <w:jc w:val="center"/>
            </w:pPr>
            <w:r/>
            <w:r>
              <w:rPr>
                <w:rFonts w:ascii="宋体" w:hAnsi="宋体" w:eastAsia="宋体"/>
                <w:b w:val="0"/>
                <w:sz w:val="19"/>
              </w:rPr>
              <w:t>体量与节点覆盖领先</w:t>
            </w:r>
          </w:p>
        </w:tc>
      </w:tr>
      <w:tr>
        <w:tc>
          <w:tcPr>
            <w:tcW w:type="dxa" w:w="2608"/>
          </w:tcPr>
          <w:p>
            <w:pPr>
              <w:spacing w:after="40" w:before="40"/>
            </w:pPr>
            <w:r/>
            <w:r>
              <w:rPr>
                <w:rFonts w:ascii="宋体" w:hAnsi="宋体" w:eastAsia="宋体"/>
                <w:b w:val="0"/>
                <w:sz w:val="19"/>
              </w:rPr>
              <w:t>Fujimi (富士美)</w:t>
            </w:r>
          </w:p>
        </w:tc>
        <w:tc>
          <w:tcPr>
            <w:tcW w:type="dxa" w:w="2154"/>
          </w:tcPr>
          <w:p>
            <w:pPr>
              <w:spacing w:after="40" w:before="40"/>
              <w:jc w:val="center"/>
            </w:pPr>
            <w:r/>
            <w:r>
              <w:rPr>
                <w:rFonts w:ascii="宋体" w:hAnsi="宋体" w:eastAsia="宋体"/>
                <w:b w:val="0"/>
                <w:sz w:val="19"/>
              </w:rPr>
              <w:t>日本</w:t>
            </w:r>
          </w:p>
        </w:tc>
        <w:tc>
          <w:tcPr>
            <w:tcW w:type="dxa" w:w="2381"/>
          </w:tcPr>
          <w:p>
            <w:pPr>
              <w:spacing w:after="40" w:before="40"/>
              <w:jc w:val="center"/>
            </w:pPr>
            <w:r/>
            <w:r>
              <w:rPr>
                <w:rFonts w:ascii="宋体" w:hAnsi="宋体" w:eastAsia="宋体"/>
                <w:b w:val="0"/>
                <w:sz w:val="19"/>
              </w:rPr>
              <w:t>抛光液老牌强者</w:t>
            </w:r>
          </w:p>
        </w:tc>
        <w:tc>
          <w:tcPr>
            <w:tcW w:type="dxa" w:w="1361"/>
          </w:tcPr>
          <w:p>
            <w:pPr>
              <w:spacing w:after="40" w:before="40"/>
              <w:jc w:val="center"/>
            </w:pPr>
            <w:r/>
            <w:r>
              <w:rPr>
                <w:rFonts w:ascii="宋体" w:hAnsi="宋体" w:eastAsia="宋体"/>
                <w:b w:val="0"/>
                <w:sz w:val="19"/>
              </w:rPr>
              <w:t>高端节点经验深</w:t>
            </w:r>
          </w:p>
        </w:tc>
      </w:tr>
      <w:tr>
        <w:tc>
          <w:tcPr>
            <w:tcW w:type="dxa" w:w="2608"/>
            <w:shd w:val="clear" w:fill="EEF3F8"/>
          </w:tcPr>
          <w:p>
            <w:pPr>
              <w:spacing w:after="40" w:before="40"/>
            </w:pPr>
            <w:r/>
            <w:r>
              <w:rPr>
                <w:rFonts w:ascii="宋体" w:hAnsi="宋体" w:eastAsia="宋体"/>
                <w:b w:val="0"/>
                <w:sz w:val="19"/>
              </w:rPr>
              <w:t>Hitachi / 其他日企</w:t>
            </w:r>
          </w:p>
        </w:tc>
        <w:tc>
          <w:tcPr>
            <w:tcW w:type="dxa" w:w="2154"/>
            <w:shd w:val="clear" w:fill="EEF3F8"/>
          </w:tcPr>
          <w:p>
            <w:pPr>
              <w:spacing w:after="40" w:before="40"/>
              <w:jc w:val="center"/>
            </w:pPr>
            <w:r/>
            <w:r>
              <w:rPr>
                <w:rFonts w:ascii="宋体" w:hAnsi="宋体" w:eastAsia="宋体"/>
                <w:b w:val="0"/>
                <w:sz w:val="19"/>
              </w:rPr>
              <w:t>日本</w:t>
            </w:r>
          </w:p>
        </w:tc>
        <w:tc>
          <w:tcPr>
            <w:tcW w:type="dxa" w:w="2381"/>
            <w:shd w:val="clear" w:fill="EEF3F8"/>
          </w:tcPr>
          <w:p>
            <w:pPr>
              <w:spacing w:after="40" w:before="40"/>
              <w:jc w:val="center"/>
            </w:pPr>
            <w:r/>
            <w:r>
              <w:rPr>
                <w:rFonts w:ascii="宋体" w:hAnsi="宋体" w:eastAsia="宋体"/>
                <w:b w:val="0"/>
                <w:sz w:val="19"/>
              </w:rPr>
              <w:t>细分领域供应</w:t>
            </w:r>
          </w:p>
        </w:tc>
        <w:tc>
          <w:tcPr>
            <w:tcW w:type="dxa" w:w="1361"/>
            <w:shd w:val="clear" w:fill="EEF3F8"/>
          </w:tcPr>
          <w:p>
            <w:pPr>
              <w:spacing w:after="40" w:before="40"/>
              <w:jc w:val="center"/>
            </w:pPr>
            <w:r/>
            <w:r>
              <w:rPr>
                <w:rFonts w:ascii="宋体" w:hAnsi="宋体" w:eastAsia="宋体"/>
                <w:b w:val="0"/>
                <w:sz w:val="19"/>
              </w:rPr>
              <w:t>区域性优势</w:t>
            </w:r>
          </w:p>
        </w:tc>
      </w:tr>
      <w:tr>
        <w:tc>
          <w:tcPr>
            <w:tcW w:type="dxa" w:w="2608"/>
          </w:tcPr>
          <w:p>
            <w:pPr>
              <w:spacing w:after="40" w:before="40"/>
            </w:pPr>
            <w:r/>
            <w:r>
              <w:rPr>
                <w:rFonts w:ascii="宋体" w:hAnsi="宋体" w:eastAsia="宋体"/>
                <w:b w:val="0"/>
                <w:sz w:val="19"/>
              </w:rPr>
              <w:t>安集科技</w:t>
            </w:r>
          </w:p>
        </w:tc>
        <w:tc>
          <w:tcPr>
            <w:tcW w:type="dxa" w:w="2154"/>
          </w:tcPr>
          <w:p>
            <w:pPr>
              <w:spacing w:after="40" w:before="40"/>
              <w:jc w:val="center"/>
            </w:pPr>
            <w:r/>
            <w:r>
              <w:rPr>
                <w:rFonts w:ascii="宋体" w:hAnsi="宋体" w:eastAsia="宋体"/>
                <w:b w:val="0"/>
                <w:sz w:val="19"/>
              </w:rPr>
              <w:t>中国</w:t>
            </w:r>
          </w:p>
        </w:tc>
        <w:tc>
          <w:tcPr>
            <w:tcW w:type="dxa" w:w="2381"/>
          </w:tcPr>
          <w:p>
            <w:pPr>
              <w:spacing w:after="40" w:before="40"/>
              <w:jc w:val="center"/>
            </w:pPr>
            <w:r/>
            <w:r>
              <w:rPr>
                <w:rFonts w:ascii="宋体" w:hAnsi="宋体" w:eastAsia="宋体"/>
                <w:b w:val="0"/>
                <w:sz w:val="19"/>
              </w:rPr>
              <w:t>全球约 13%，跻身主流供应商</w:t>
            </w:r>
          </w:p>
        </w:tc>
        <w:tc>
          <w:tcPr>
            <w:tcW w:type="dxa" w:w="1361"/>
          </w:tcPr>
          <w:p>
            <w:pPr>
              <w:spacing w:after="40" w:before="40"/>
              <w:jc w:val="center"/>
            </w:pPr>
            <w:r/>
            <w:r>
              <w:rPr>
                <w:rFonts w:ascii="宋体" w:hAnsi="宋体" w:eastAsia="宋体"/>
                <w:b w:val="0"/>
                <w:sz w:val="19"/>
              </w:rPr>
              <w:t>本报告主角</w:t>
            </w:r>
          </w:p>
        </w:tc>
      </w:tr>
    </w:tbl>
    <w:p>
      <w:pPr>
        <w:spacing w:after="120"/>
        <w:ind w:firstLine="420"/>
      </w:pPr>
      <w:r>
        <w:rPr>
          <w:rFonts w:ascii="宋体" w:hAnsi="宋体" w:eastAsia="宋体"/>
          <w:b w:val="0"/>
          <w:i w:val="0"/>
          <w:sz w:val="21"/>
        </w:rPr>
        <w:t>客观差距：海外龙头拥有数十年、跨多家 Fab、跨多节点的认证积累，在最先进节点（5nm 及以下）的成熟量产能力仍领先安集。安集的 10–7nm 铜及铜阻挡层抛光液已研发完成并推进导入，但在最尖端节点的大规模量产上仍处追赶阶段。</w:t>
      </w:r>
    </w:p>
    <w:p>
      <w:pPr>
        <w:spacing w:after="120"/>
        <w:ind w:firstLine="420"/>
      </w:pPr>
      <w:r>
        <w:rPr>
          <w:rFonts w:ascii="宋体" w:hAnsi="宋体" w:eastAsia="宋体"/>
          <w:b w:val="0"/>
          <w:i w:val="0"/>
          <w:sz w:val="21"/>
        </w:rPr>
        <w:t>安集的优势：①全球份额从约 8% 三年提升至约 13%，是全球增速最快的玩家之一；②背靠全球最大的半导体扩产增量市场（中国）与国产替代政策红利；③多款抛光液已用自研磨料，纵向一体化带来成本与性能双重壁垒。</w:t>
      </w:r>
    </w:p>
    <w:p>
      <w:pPr>
        <w:spacing w:before="220" w:after="100"/>
      </w:pPr>
      <w:r>
        <w:rPr>
          <w:rFonts w:ascii="微软雅黑" w:hAnsi="微软雅黑" w:eastAsia="微软雅黑"/>
          <w:b/>
          <w:color w:val="2E6DA4"/>
          <w:sz w:val="24"/>
        </w:rPr>
        <w:t>2.3 电镀液：从 0 到 1 的国产突破</w:t>
      </w:r>
    </w:p>
    <w:p>
      <w:pPr>
        <w:spacing w:after="120"/>
        <w:ind w:firstLine="420"/>
      </w:pPr>
      <w:r>
        <w:rPr>
          <w:rFonts w:ascii="宋体" w:hAnsi="宋体" w:eastAsia="宋体"/>
          <w:b w:val="0"/>
          <w:i w:val="0"/>
          <w:sz w:val="21"/>
        </w:rPr>
        <w:t>半导体电镀液（尤其大马士革工艺铜互连电镀液、先进封装电镀液）长期被陶氏（Dow）、上村（Uyemura）、Atotech（MKS）等海外厂商垄断，技术壁垒在于高纯配方、添加剂体系与极高的客户认证门槛。安集在 2026 年一季度实现大马士革工艺铜电镀液及添加剂的量产销售，标志着客户验证阶段完成——这是国内厂商在该高壁垒环节稀缺的"0→1"突破，也是公司打开第二增长曲线的关键。</w:t>
      </w:r>
    </w:p>
    <w:p>
      <w:pPr>
        <w:spacing w:before="220" w:after="100"/>
      </w:pPr>
      <w:r>
        <w:rPr>
          <w:rFonts w:ascii="微软雅黑" w:hAnsi="微软雅黑" w:eastAsia="微软雅黑"/>
          <w:b/>
          <w:color w:val="2E6DA4"/>
          <w:sz w:val="24"/>
        </w:rPr>
        <w:t>2.4 国内同行对比：谁更稀缺？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74"/>
            <w:shd w:val="clear" w:fill="1F3A5F"/>
          </w:tcPr>
          <w:p>
            <w:pPr>
              <w:spacing w:after="40" w:before="40"/>
              <w:jc w:val="center"/>
            </w:pPr>
            <w:r/>
            <w:r>
              <w:rPr>
                <w:rFonts w:ascii="微软雅黑" w:hAnsi="微软雅黑" w:eastAsia="微软雅黑"/>
                <w:b/>
                <w:color w:val="FFFFFF"/>
                <w:sz w:val="18"/>
              </w:rPr>
              <w:t>公司</w:t>
            </w:r>
          </w:p>
        </w:tc>
        <w:tc>
          <w:tcPr>
            <w:tcW w:type="dxa" w:w="2494"/>
            <w:shd w:val="clear" w:fill="1F3A5F"/>
          </w:tcPr>
          <w:p>
            <w:pPr>
              <w:spacing w:after="40" w:before="40"/>
              <w:jc w:val="center"/>
            </w:pPr>
            <w:r/>
            <w:r>
              <w:rPr>
                <w:rFonts w:ascii="微软雅黑" w:hAnsi="微软雅黑" w:eastAsia="微软雅黑"/>
                <w:b/>
                <w:color w:val="FFFFFF"/>
                <w:sz w:val="18"/>
              </w:rPr>
              <w:t>主赛道</w:t>
            </w:r>
          </w:p>
        </w:tc>
        <w:tc>
          <w:tcPr>
            <w:tcW w:type="dxa" w:w="1247"/>
            <w:shd w:val="clear" w:fill="1F3A5F"/>
          </w:tcPr>
          <w:p>
            <w:pPr>
              <w:spacing w:after="40" w:before="40"/>
              <w:jc w:val="center"/>
            </w:pPr>
            <w:r/>
            <w:r>
              <w:rPr>
                <w:rFonts w:ascii="微软雅黑" w:hAnsi="微软雅黑" w:eastAsia="微软雅黑"/>
                <w:b/>
                <w:color w:val="FFFFFF"/>
                <w:sz w:val="18"/>
              </w:rPr>
              <w:t>2025 营收</w:t>
            </w:r>
          </w:p>
        </w:tc>
        <w:tc>
          <w:tcPr>
            <w:tcW w:type="dxa" w:w="1474"/>
            <w:shd w:val="clear" w:fill="1F3A5F"/>
          </w:tcPr>
          <w:p>
            <w:pPr>
              <w:spacing w:after="40" w:before="40"/>
              <w:jc w:val="center"/>
            </w:pPr>
            <w:r/>
            <w:r>
              <w:rPr>
                <w:rFonts w:ascii="微软雅黑" w:hAnsi="微软雅黑" w:eastAsia="微软雅黑"/>
                <w:b/>
                <w:color w:val="FFFFFF"/>
                <w:sz w:val="18"/>
              </w:rPr>
              <w:t>2025 净利增速</w:t>
            </w:r>
          </w:p>
        </w:tc>
        <w:tc>
          <w:tcPr>
            <w:tcW w:type="dxa" w:w="1814"/>
            <w:shd w:val="clear" w:fill="1F3A5F"/>
          </w:tcPr>
          <w:p>
            <w:pPr>
              <w:spacing w:after="40" w:before="40"/>
              <w:jc w:val="center"/>
            </w:pPr>
            <w:r/>
            <w:r>
              <w:rPr>
                <w:rFonts w:ascii="微软雅黑" w:hAnsi="微软雅黑" w:eastAsia="微软雅黑"/>
                <w:b/>
                <w:color w:val="FFFFFF"/>
                <w:sz w:val="18"/>
              </w:rPr>
              <w:t>差异化</w:t>
            </w:r>
          </w:p>
        </w:tc>
      </w:tr>
      <w:tr>
        <w:tc>
          <w:tcPr>
            <w:tcW w:type="dxa" w:w="1474"/>
          </w:tcPr>
          <w:p>
            <w:pPr>
              <w:spacing w:after="40" w:before="40"/>
            </w:pPr>
            <w:r/>
            <w:r>
              <w:rPr>
                <w:rFonts w:ascii="宋体" w:hAnsi="宋体" w:eastAsia="宋体"/>
                <w:b w:val="0"/>
                <w:sz w:val="18"/>
              </w:rPr>
              <w:t>安集科技</w:t>
            </w:r>
          </w:p>
        </w:tc>
        <w:tc>
          <w:tcPr>
            <w:tcW w:type="dxa" w:w="2494"/>
          </w:tcPr>
          <w:p>
            <w:pPr>
              <w:spacing w:after="40" w:before="40"/>
              <w:jc w:val="center"/>
            </w:pPr>
            <w:r/>
            <w:r>
              <w:rPr>
                <w:rFonts w:ascii="宋体" w:hAnsi="宋体" w:eastAsia="宋体"/>
                <w:b w:val="0"/>
                <w:sz w:val="18"/>
              </w:rPr>
              <w:t>CMP抛光液+电镀液+清洗液</w:t>
            </w:r>
          </w:p>
        </w:tc>
        <w:tc>
          <w:tcPr>
            <w:tcW w:type="dxa" w:w="1247"/>
          </w:tcPr>
          <w:p>
            <w:pPr>
              <w:spacing w:after="40" w:before="40"/>
              <w:jc w:val="center"/>
            </w:pPr>
            <w:r/>
            <w:r>
              <w:rPr>
                <w:rFonts w:ascii="宋体" w:hAnsi="宋体" w:eastAsia="宋体"/>
                <w:b w:val="0"/>
                <w:sz w:val="18"/>
              </w:rPr>
              <w:t>25.04 亿</w:t>
            </w:r>
          </w:p>
        </w:tc>
        <w:tc>
          <w:tcPr>
            <w:tcW w:type="dxa" w:w="1474"/>
          </w:tcPr>
          <w:p>
            <w:pPr>
              <w:spacing w:after="40" w:before="40"/>
              <w:jc w:val="center"/>
            </w:pPr>
            <w:r/>
            <w:r>
              <w:rPr>
                <w:rFonts w:ascii="宋体" w:hAnsi="宋体" w:eastAsia="宋体"/>
                <w:b w:val="0"/>
                <w:sz w:val="18"/>
              </w:rPr>
              <w:t>+46.9%</w:t>
            </w:r>
          </w:p>
        </w:tc>
        <w:tc>
          <w:tcPr>
            <w:tcW w:type="dxa" w:w="1814"/>
          </w:tcPr>
          <w:p>
            <w:pPr>
              <w:spacing w:after="40" w:before="40"/>
              <w:jc w:val="center"/>
            </w:pPr>
            <w:r/>
            <w:r>
              <w:rPr>
                <w:rFonts w:ascii="宋体" w:hAnsi="宋体" w:eastAsia="宋体"/>
                <w:b w:val="0"/>
                <w:sz w:val="18"/>
              </w:rPr>
              <w:t>平台型，电镀液国产突破</w:t>
            </w:r>
          </w:p>
        </w:tc>
      </w:tr>
      <w:tr>
        <w:tc>
          <w:tcPr>
            <w:tcW w:type="dxa" w:w="1474"/>
            <w:shd w:val="clear" w:fill="EEF3F8"/>
          </w:tcPr>
          <w:p>
            <w:pPr>
              <w:spacing w:after="40" w:before="40"/>
            </w:pPr>
            <w:r/>
            <w:r>
              <w:rPr>
                <w:rFonts w:ascii="宋体" w:hAnsi="宋体" w:eastAsia="宋体"/>
                <w:b w:val="0"/>
                <w:sz w:val="18"/>
              </w:rPr>
              <w:t>鼎龙股份</w:t>
            </w:r>
          </w:p>
        </w:tc>
        <w:tc>
          <w:tcPr>
            <w:tcW w:type="dxa" w:w="2494"/>
            <w:shd w:val="clear" w:fill="EEF3F8"/>
          </w:tcPr>
          <w:p>
            <w:pPr>
              <w:spacing w:after="40" w:before="40"/>
              <w:jc w:val="center"/>
            </w:pPr>
            <w:r/>
            <w:r>
              <w:rPr>
                <w:rFonts w:ascii="宋体" w:hAnsi="宋体" w:eastAsia="宋体"/>
                <w:b w:val="0"/>
                <w:sz w:val="18"/>
              </w:rPr>
              <w:t>CMP抛光垫(龙头)+抛光液+光刻胶</w:t>
            </w:r>
          </w:p>
        </w:tc>
        <w:tc>
          <w:tcPr>
            <w:tcW w:type="dxa" w:w="1247"/>
            <w:shd w:val="clear" w:fill="EEF3F8"/>
          </w:tcPr>
          <w:p>
            <w:pPr>
              <w:spacing w:after="40" w:before="40"/>
              <w:jc w:val="center"/>
            </w:pPr>
            <w:r/>
            <w:r>
              <w:rPr>
                <w:rFonts w:ascii="宋体" w:hAnsi="宋体" w:eastAsia="宋体"/>
                <w:b w:val="0"/>
                <w:sz w:val="18"/>
              </w:rPr>
              <w:t>36.6 亿</w:t>
            </w:r>
          </w:p>
        </w:tc>
        <w:tc>
          <w:tcPr>
            <w:tcW w:type="dxa" w:w="1474"/>
            <w:shd w:val="clear" w:fill="EEF3F8"/>
          </w:tcPr>
          <w:p>
            <w:pPr>
              <w:spacing w:after="40" w:before="40"/>
              <w:jc w:val="center"/>
            </w:pPr>
            <w:r/>
            <w:r>
              <w:rPr>
                <w:rFonts w:ascii="宋体" w:hAnsi="宋体" w:eastAsia="宋体"/>
                <w:b w:val="0"/>
                <w:sz w:val="18"/>
              </w:rPr>
              <w:t>+38.3%</w:t>
            </w:r>
          </w:p>
        </w:tc>
        <w:tc>
          <w:tcPr>
            <w:tcW w:type="dxa" w:w="1814"/>
            <w:shd w:val="clear" w:fill="EEF3F8"/>
          </w:tcPr>
          <w:p>
            <w:pPr>
              <w:spacing w:after="40" w:before="40"/>
              <w:jc w:val="center"/>
            </w:pPr>
            <w:r/>
            <w:r>
              <w:rPr>
                <w:rFonts w:ascii="宋体" w:hAnsi="宋体" w:eastAsia="宋体"/>
                <w:b w:val="0"/>
                <w:sz w:val="18"/>
              </w:rPr>
              <w:t>抛光垫龙头，产品线广但分散</w:t>
            </w:r>
          </w:p>
        </w:tc>
      </w:tr>
      <w:tr>
        <w:tc>
          <w:tcPr>
            <w:tcW w:type="dxa" w:w="1474"/>
          </w:tcPr>
          <w:p>
            <w:pPr>
              <w:spacing w:after="40" w:before="40"/>
            </w:pPr>
            <w:r/>
            <w:r>
              <w:rPr>
                <w:rFonts w:ascii="宋体" w:hAnsi="宋体" w:eastAsia="宋体"/>
                <w:b w:val="0"/>
                <w:sz w:val="18"/>
              </w:rPr>
              <w:t>华特气体</w:t>
            </w:r>
          </w:p>
        </w:tc>
        <w:tc>
          <w:tcPr>
            <w:tcW w:type="dxa" w:w="2494"/>
          </w:tcPr>
          <w:p>
            <w:pPr>
              <w:spacing w:after="40" w:before="40"/>
              <w:jc w:val="center"/>
            </w:pPr>
            <w:r/>
            <w:r>
              <w:rPr>
                <w:rFonts w:ascii="宋体" w:hAnsi="宋体" w:eastAsia="宋体"/>
                <w:b w:val="0"/>
                <w:sz w:val="18"/>
              </w:rPr>
              <w:t>电子特气</w:t>
            </w:r>
          </w:p>
        </w:tc>
        <w:tc>
          <w:tcPr>
            <w:tcW w:type="dxa" w:w="1247"/>
          </w:tcPr>
          <w:p>
            <w:pPr>
              <w:spacing w:after="40" w:before="40"/>
              <w:jc w:val="center"/>
            </w:pPr>
            <w:r/>
            <w:r>
              <w:rPr>
                <w:rFonts w:ascii="宋体" w:hAnsi="宋体" w:eastAsia="宋体"/>
                <w:b w:val="0"/>
                <w:sz w:val="18"/>
              </w:rPr>
              <w:t>14.19 亿</w:t>
            </w:r>
          </w:p>
        </w:tc>
        <w:tc>
          <w:tcPr>
            <w:tcW w:type="dxa" w:w="1474"/>
          </w:tcPr>
          <w:p>
            <w:pPr>
              <w:spacing w:after="40" w:before="40"/>
              <w:jc w:val="center"/>
            </w:pPr>
            <w:r/>
            <w:r>
              <w:rPr>
                <w:rFonts w:ascii="宋体" w:hAnsi="宋体" w:eastAsia="宋体"/>
                <w:b w:val="0"/>
                <w:sz w:val="18"/>
              </w:rPr>
              <w:t>-26.7%</w:t>
            </w:r>
          </w:p>
        </w:tc>
        <w:tc>
          <w:tcPr>
            <w:tcW w:type="dxa" w:w="1814"/>
          </w:tcPr>
          <w:p>
            <w:pPr>
              <w:spacing w:after="40" w:before="40"/>
              <w:jc w:val="center"/>
            </w:pPr>
            <w:r/>
            <w:r>
              <w:rPr>
                <w:rFonts w:ascii="宋体" w:hAnsi="宋体" w:eastAsia="宋体"/>
                <w:b w:val="0"/>
                <w:sz w:val="18"/>
              </w:rPr>
              <w:t>特气龙头，增收不增利</w:t>
            </w:r>
          </w:p>
        </w:tc>
      </w:tr>
      <w:tr>
        <w:tc>
          <w:tcPr>
            <w:tcW w:type="dxa" w:w="1474"/>
            <w:shd w:val="clear" w:fill="EEF3F8"/>
          </w:tcPr>
          <w:p>
            <w:pPr>
              <w:spacing w:after="40" w:before="40"/>
            </w:pPr>
            <w:r/>
            <w:r>
              <w:rPr>
                <w:rFonts w:ascii="宋体" w:hAnsi="宋体" w:eastAsia="宋体"/>
                <w:b w:val="0"/>
                <w:sz w:val="18"/>
              </w:rPr>
              <w:t>江化微</w:t>
            </w:r>
          </w:p>
        </w:tc>
        <w:tc>
          <w:tcPr>
            <w:tcW w:type="dxa" w:w="2494"/>
            <w:shd w:val="clear" w:fill="EEF3F8"/>
          </w:tcPr>
          <w:p>
            <w:pPr>
              <w:spacing w:after="40" w:before="40"/>
              <w:jc w:val="center"/>
            </w:pPr>
            <w:r/>
            <w:r>
              <w:rPr>
                <w:rFonts w:ascii="宋体" w:hAnsi="宋体" w:eastAsia="宋体"/>
                <w:b w:val="0"/>
                <w:sz w:val="18"/>
              </w:rPr>
              <w:t>湿电子化学品</w:t>
            </w:r>
          </w:p>
        </w:tc>
        <w:tc>
          <w:tcPr>
            <w:tcW w:type="dxa" w:w="1247"/>
            <w:shd w:val="clear" w:fill="EEF3F8"/>
          </w:tcPr>
          <w:p>
            <w:pPr>
              <w:spacing w:after="40" w:before="40"/>
              <w:jc w:val="center"/>
            </w:pPr>
            <w:r/>
            <w:r>
              <w:rPr>
                <w:rFonts w:ascii="宋体" w:hAnsi="宋体" w:eastAsia="宋体"/>
                <w:b w:val="0"/>
                <w:sz w:val="18"/>
              </w:rPr>
              <w:t>12.34 亿</w:t>
            </w:r>
          </w:p>
        </w:tc>
        <w:tc>
          <w:tcPr>
            <w:tcW w:type="dxa" w:w="1474"/>
            <w:shd w:val="clear" w:fill="EEF3F8"/>
          </w:tcPr>
          <w:p>
            <w:pPr>
              <w:spacing w:after="40" w:before="40"/>
              <w:jc w:val="center"/>
            </w:pPr>
            <w:r/>
            <w:r>
              <w:rPr>
                <w:rFonts w:ascii="宋体" w:hAnsi="宋体" w:eastAsia="宋体"/>
                <w:b w:val="0"/>
                <w:sz w:val="18"/>
              </w:rPr>
              <w:t>+6.3%</w:t>
            </w:r>
          </w:p>
        </w:tc>
        <w:tc>
          <w:tcPr>
            <w:tcW w:type="dxa" w:w="1814"/>
            <w:shd w:val="clear" w:fill="EEF3F8"/>
          </w:tcPr>
          <w:p>
            <w:pPr>
              <w:spacing w:after="40" w:before="40"/>
              <w:jc w:val="center"/>
            </w:pPr>
            <w:r/>
            <w:r>
              <w:rPr>
                <w:rFonts w:ascii="宋体" w:hAnsi="宋体" w:eastAsia="宋体"/>
                <w:b w:val="0"/>
                <w:sz w:val="18"/>
              </w:rPr>
              <w:t>体量小，产品单一</w:t>
            </w:r>
          </w:p>
        </w:tc>
      </w:tr>
      <w:tr>
        <w:tc>
          <w:tcPr>
            <w:tcW w:type="dxa" w:w="1474"/>
          </w:tcPr>
          <w:p>
            <w:pPr>
              <w:spacing w:after="40" w:before="40"/>
            </w:pPr>
            <w:r/>
            <w:r>
              <w:rPr>
                <w:rFonts w:ascii="宋体" w:hAnsi="宋体" w:eastAsia="宋体"/>
                <w:b w:val="0"/>
                <w:sz w:val="18"/>
              </w:rPr>
              <w:t>晶瑞电材</w:t>
            </w:r>
          </w:p>
        </w:tc>
        <w:tc>
          <w:tcPr>
            <w:tcW w:type="dxa" w:w="2494"/>
          </w:tcPr>
          <w:p>
            <w:pPr>
              <w:spacing w:after="40" w:before="40"/>
              <w:jc w:val="center"/>
            </w:pPr>
            <w:r/>
            <w:r>
              <w:rPr>
                <w:rFonts w:ascii="宋体" w:hAnsi="宋体" w:eastAsia="宋体"/>
                <w:b w:val="0"/>
                <w:sz w:val="18"/>
              </w:rPr>
              <w:t>高纯化学品+电镀液+光刻胶</w:t>
            </w:r>
          </w:p>
        </w:tc>
        <w:tc>
          <w:tcPr>
            <w:tcW w:type="dxa" w:w="1247"/>
          </w:tcPr>
          <w:p>
            <w:pPr>
              <w:spacing w:after="40" w:before="40"/>
              <w:jc w:val="center"/>
            </w:pPr>
            <w:r/>
            <w:r>
              <w:rPr>
                <w:rFonts w:ascii="宋体" w:hAnsi="宋体" w:eastAsia="宋体"/>
                <w:b w:val="0"/>
                <w:sz w:val="18"/>
              </w:rPr>
              <w:t>—</w:t>
            </w:r>
          </w:p>
        </w:tc>
        <w:tc>
          <w:tcPr>
            <w:tcW w:type="dxa" w:w="1474"/>
          </w:tcPr>
          <w:p>
            <w:pPr>
              <w:spacing w:after="40" w:before="40"/>
              <w:jc w:val="center"/>
            </w:pPr>
            <w:r/>
            <w:r>
              <w:rPr>
                <w:rFonts w:ascii="宋体" w:hAnsi="宋体" w:eastAsia="宋体"/>
                <w:b w:val="0"/>
                <w:sz w:val="18"/>
              </w:rPr>
              <w:t>+183%(扭亏)</w:t>
            </w:r>
          </w:p>
        </w:tc>
        <w:tc>
          <w:tcPr>
            <w:tcW w:type="dxa" w:w="1814"/>
          </w:tcPr>
          <w:p>
            <w:pPr>
              <w:spacing w:after="40" w:before="40"/>
              <w:jc w:val="center"/>
            </w:pPr>
            <w:r/>
            <w:r>
              <w:rPr>
                <w:rFonts w:ascii="宋体" w:hAnsi="宋体" w:eastAsia="宋体"/>
                <w:b w:val="0"/>
                <w:sz w:val="18"/>
              </w:rPr>
              <w:t>刚扭亏，成熟度低</w:t>
            </w:r>
          </w:p>
        </w:tc>
      </w:tr>
      <w:tr>
        <w:tc>
          <w:tcPr>
            <w:tcW w:type="dxa" w:w="1474"/>
            <w:shd w:val="clear" w:fill="EEF3F8"/>
          </w:tcPr>
          <w:p>
            <w:pPr>
              <w:spacing w:after="40" w:before="40"/>
            </w:pPr>
            <w:r/>
            <w:r>
              <w:rPr>
                <w:rFonts w:ascii="宋体" w:hAnsi="宋体" w:eastAsia="宋体"/>
                <w:b w:val="0"/>
                <w:sz w:val="18"/>
              </w:rPr>
              <w:t>上海新阳</w:t>
            </w:r>
          </w:p>
        </w:tc>
        <w:tc>
          <w:tcPr>
            <w:tcW w:type="dxa" w:w="2494"/>
            <w:shd w:val="clear" w:fill="EEF3F8"/>
          </w:tcPr>
          <w:p>
            <w:pPr>
              <w:spacing w:after="40" w:before="40"/>
              <w:jc w:val="center"/>
            </w:pPr>
            <w:r/>
            <w:r>
              <w:rPr>
                <w:rFonts w:ascii="宋体" w:hAnsi="宋体" w:eastAsia="宋体"/>
                <w:b w:val="0"/>
                <w:sz w:val="18"/>
              </w:rPr>
              <w:t>半导体材料(电镀液等)</w:t>
            </w:r>
          </w:p>
        </w:tc>
        <w:tc>
          <w:tcPr>
            <w:tcW w:type="dxa" w:w="1247"/>
            <w:shd w:val="clear" w:fill="EEF3F8"/>
          </w:tcPr>
          <w:p>
            <w:pPr>
              <w:spacing w:after="40" w:before="40"/>
              <w:jc w:val="center"/>
            </w:pPr>
            <w:r/>
            <w:r>
              <w:rPr>
                <w:rFonts w:ascii="宋体" w:hAnsi="宋体" w:eastAsia="宋体"/>
                <w:b w:val="0"/>
                <w:sz w:val="18"/>
              </w:rPr>
              <w:t>—</w:t>
            </w:r>
          </w:p>
        </w:tc>
        <w:tc>
          <w:tcPr>
            <w:tcW w:type="dxa" w:w="1474"/>
            <w:shd w:val="clear" w:fill="EEF3F8"/>
          </w:tcPr>
          <w:p>
            <w:pPr>
              <w:spacing w:after="40" w:before="40"/>
              <w:jc w:val="center"/>
            </w:pPr>
            <w:r/>
            <w:r>
              <w:rPr>
                <w:rFonts w:ascii="宋体" w:hAnsi="宋体" w:eastAsia="宋体"/>
                <w:b w:val="0"/>
                <w:sz w:val="18"/>
              </w:rPr>
              <w:t>+71.1%</w:t>
            </w:r>
          </w:p>
        </w:tc>
        <w:tc>
          <w:tcPr>
            <w:tcW w:type="dxa" w:w="1814"/>
            <w:shd w:val="clear" w:fill="EEF3F8"/>
          </w:tcPr>
          <w:p>
            <w:pPr>
              <w:spacing w:after="40" w:before="40"/>
              <w:jc w:val="center"/>
            </w:pPr>
            <w:r/>
            <w:r>
              <w:rPr>
                <w:rFonts w:ascii="宋体" w:hAnsi="宋体" w:eastAsia="宋体"/>
                <w:b w:val="0"/>
                <w:sz w:val="18"/>
              </w:rPr>
              <w:t>半导体材料为增长主引擎</w:t>
            </w:r>
          </w:p>
        </w:tc>
      </w:tr>
      <w:tr>
        <w:tc>
          <w:tcPr>
            <w:tcW w:type="dxa" w:w="1474"/>
          </w:tcPr>
          <w:p>
            <w:pPr>
              <w:spacing w:after="40" w:before="40"/>
            </w:pPr>
            <w:r/>
            <w:r>
              <w:rPr>
                <w:rFonts w:ascii="宋体" w:hAnsi="宋体" w:eastAsia="宋体"/>
                <w:b w:val="0"/>
                <w:sz w:val="18"/>
              </w:rPr>
              <w:t>格林达</w:t>
            </w:r>
          </w:p>
        </w:tc>
        <w:tc>
          <w:tcPr>
            <w:tcW w:type="dxa" w:w="2494"/>
          </w:tcPr>
          <w:p>
            <w:pPr>
              <w:spacing w:after="40" w:before="40"/>
              <w:jc w:val="center"/>
            </w:pPr>
            <w:r/>
            <w:r>
              <w:rPr>
                <w:rFonts w:ascii="宋体" w:hAnsi="宋体" w:eastAsia="宋体"/>
                <w:b w:val="0"/>
                <w:sz w:val="18"/>
              </w:rPr>
              <w:t>功能性湿电子化学品</w:t>
            </w:r>
          </w:p>
        </w:tc>
        <w:tc>
          <w:tcPr>
            <w:tcW w:type="dxa" w:w="1247"/>
          </w:tcPr>
          <w:p>
            <w:pPr>
              <w:spacing w:after="40" w:before="40"/>
              <w:jc w:val="center"/>
            </w:pPr>
            <w:r/>
            <w:r>
              <w:rPr>
                <w:rFonts w:ascii="宋体" w:hAnsi="宋体" w:eastAsia="宋体"/>
                <w:b w:val="0"/>
                <w:sz w:val="18"/>
              </w:rPr>
              <w:t>—</w:t>
            </w:r>
          </w:p>
        </w:tc>
        <w:tc>
          <w:tcPr>
            <w:tcW w:type="dxa" w:w="1474"/>
          </w:tcPr>
          <w:p>
            <w:pPr>
              <w:spacing w:after="40" w:before="40"/>
              <w:jc w:val="center"/>
            </w:pPr>
            <w:r/>
            <w:r>
              <w:rPr>
                <w:rFonts w:ascii="宋体" w:hAnsi="宋体" w:eastAsia="宋体"/>
                <w:b w:val="0"/>
                <w:sz w:val="18"/>
              </w:rPr>
              <w:t>-16.2%</w:t>
            </w:r>
          </w:p>
        </w:tc>
        <w:tc>
          <w:tcPr>
            <w:tcW w:type="dxa" w:w="1814"/>
          </w:tcPr>
          <w:p>
            <w:pPr>
              <w:spacing w:after="40" w:before="40"/>
              <w:jc w:val="center"/>
            </w:pPr>
            <w:r/>
            <w:r>
              <w:rPr>
                <w:rFonts w:ascii="宋体" w:hAnsi="宋体" w:eastAsia="宋体"/>
                <w:b w:val="0"/>
                <w:sz w:val="18"/>
              </w:rPr>
              <w:t>主业集中但承压</w:t>
            </w:r>
          </w:p>
        </w:tc>
      </w:tr>
    </w:tbl>
    <w:p>
      <w:pPr>
        <w:spacing w:after="120"/>
        <w:ind w:firstLine="420"/>
      </w:pPr>
      <w:r>
        <w:rPr>
          <w:rFonts w:ascii="宋体" w:hAnsi="宋体" w:eastAsia="宋体"/>
          <w:b w:val="0"/>
          <w:i w:val="0"/>
          <w:sz w:val="21"/>
        </w:rPr>
        <w:t>结论——安集的稀缺性在于"平台 + 高端 + 高增长"三者兼具：与鼎龙形成"抛光液 vs 抛光垫"的错位双龙头格局；相比华特、江化微、格林达等单一品类公司，安集既有更大的体量，又有更高的净利增速（约 47% vs 同行 -27%~+38%），且是少数在电镀液这一最高壁垒环节实现量产突破的公司。A 股中能同时掌握 CMP 抛光液 + 铜电镀液 + 清洗液并进入先进制程供应链的标的极为稀缺。</w:t>
      </w:r>
    </w:p>
    <w:p>
      <w:r>
        <w:br w:type="page"/>
      </w:r>
    </w:p>
    <w:p>
      <w:pPr>
        <w:spacing w:before="320" w:after="160"/>
        <w:pBdr>
          <w:bottom w:val="single" w:sz="6" w:space="4" w:color="1F3A5F"/>
        </w:pBdr>
      </w:pPr>
      <w:r>
        <w:rPr>
          <w:rFonts w:ascii="微软雅黑" w:hAnsi="微软雅黑" w:eastAsia="微软雅黑"/>
          <w:b/>
          <w:color w:val="1F3A5F"/>
          <w:sz w:val="30"/>
        </w:rPr>
        <w:t>03  行业背景、供需格局与涨价逻辑</w:t>
      </w:r>
    </w:p>
    <w:p>
      <w:pPr>
        <w:spacing w:before="220" w:after="100"/>
      </w:pPr>
      <w:r>
        <w:rPr>
          <w:rFonts w:ascii="微软雅黑" w:hAnsi="微软雅黑" w:eastAsia="微软雅黑"/>
          <w:b/>
          <w:color w:val="2E6DA4"/>
          <w:sz w:val="24"/>
        </w:rPr>
        <w:t>3.1 大行业背景：AI 驱动的扩产超级周期</w:t>
      </w:r>
    </w:p>
    <w:p>
      <w:pPr>
        <w:spacing w:after="120"/>
        <w:ind w:firstLine="420"/>
      </w:pPr>
      <w:r>
        <w:rPr>
          <w:rFonts w:ascii="宋体" w:hAnsi="宋体" w:eastAsia="宋体"/>
          <w:b w:val="0"/>
          <w:i w:val="0"/>
          <w:sz w:val="21"/>
        </w:rPr>
        <w:t>2026 年半导体行业正处于由 AI 算力需求驱动的"扩产超级周期"早期。多重信号印证景气度：</w:t>
      </w:r>
    </w:p>
    <w:p>
      <w:pPr>
        <w:pStyle w:val="ListBullet"/>
        <w:spacing w:after="60"/>
      </w:pPr>
      <w:r>
        <w:rPr>
          <w:rFonts w:ascii="宋体" w:hAnsi="宋体" w:eastAsia="宋体"/>
          <w:b/>
          <w:color w:val="1F3A5F"/>
          <w:sz w:val="21"/>
        </w:rPr>
        <w:t>SEMI 预测 2026–2027 年全球 300mm 晶圆厂设备支出双位数增长；摩根大通上调 WFE 增速预测至 2026 年约 28%、2027 年约 29%。</w:t>
      </w:r>
      <w:r>
        <w:rPr>
          <w:rFonts w:ascii="宋体" w:hAnsi="宋体" w:eastAsia="宋体"/>
          <w:sz w:val="21"/>
        </w:rPr>
        <w:t>全球资本开支高增：</w:t>
      </w:r>
    </w:p>
    <w:p>
      <w:pPr>
        <w:pStyle w:val="ListBullet"/>
        <w:spacing w:after="60"/>
      </w:pPr>
      <w:r>
        <w:rPr>
          <w:rFonts w:ascii="宋体" w:hAnsi="宋体" w:eastAsia="宋体"/>
          <w:b/>
          <w:color w:val="1F3A5F"/>
          <w:sz w:val="21"/>
        </w:rPr>
        <w:t>2026 年资本开支约 560 亿美元（同比 +37%），5 座 2nm 厂同步爬坡，AI 营收 CAGR 上调至 50% 中高段。</w:t>
      </w:r>
      <w:r>
        <w:rPr>
          <w:rFonts w:ascii="宋体" w:hAnsi="宋体" w:eastAsia="宋体"/>
          <w:sz w:val="21"/>
        </w:rPr>
        <w:t>台积电领跑扩产：</w:t>
      </w:r>
    </w:p>
    <w:p>
      <w:pPr>
        <w:pStyle w:val="ListBullet"/>
        <w:spacing w:after="60"/>
      </w:pPr>
      <w:r>
        <w:rPr>
          <w:rFonts w:ascii="宋体" w:hAnsi="宋体" w:eastAsia="宋体"/>
          <w:b/>
          <w:color w:val="1F3A5F"/>
          <w:sz w:val="21"/>
        </w:rPr>
        <w:t>中芯国际 2026 年资本开支超 80 亿美元、Q1 产能利用率 93.1%；长江存储"史诗级扩产"，三座新厂、产能增长超 100%。</w:t>
      </w:r>
      <w:r>
        <w:rPr>
          <w:rFonts w:ascii="宋体" w:hAnsi="宋体" w:eastAsia="宋体"/>
          <w:sz w:val="21"/>
        </w:rPr>
        <w:t>中国 Fab 大扩产：</w:t>
      </w:r>
    </w:p>
    <w:p>
      <w:pPr>
        <w:spacing w:after="120"/>
        <w:ind w:firstLine="420"/>
      </w:pPr>
      <w:r>
        <w:rPr>
          <w:rFonts w:ascii="宋体" w:hAnsi="宋体" w:eastAsia="宋体"/>
          <w:b w:val="0"/>
          <w:i w:val="0"/>
          <w:sz w:val="21"/>
        </w:rPr>
        <w:t>对材料公司的含义：晶圆厂高产能利用率 + 持续扩产 = 抛光液、电镀液等耗材的需求量随之放大，且高稼动率提升了 Fab 对稳定供应的依赖，材料商议价权增强。</w:t>
      </w:r>
    </w:p>
    <w:p>
      <w:pPr>
        <w:spacing w:before="220" w:after="100"/>
      </w:pPr>
      <w:r>
        <w:rPr>
          <w:rFonts w:ascii="微软雅黑" w:hAnsi="微软雅黑" w:eastAsia="微软雅黑"/>
          <w:b/>
          <w:color w:val="2E6DA4"/>
          <w:sz w:val="24"/>
        </w:rPr>
        <w:t>3.2 供需是否紧张？涨价是否真实发生？</w:t>
      </w:r>
    </w:p>
    <w:p>
      <w:pPr>
        <w:spacing w:after="120"/>
        <w:ind w:firstLine="420"/>
      </w:pPr>
      <w:r>
        <w:rPr>
          <w:rFonts w:ascii="宋体" w:hAnsi="宋体" w:eastAsia="宋体"/>
          <w:b w:val="0"/>
          <w:i w:val="0"/>
          <w:sz w:val="21"/>
        </w:rPr>
        <w:t>2026 年上半年，半导体材料确实出现了一轮清晰的、由供给约束 + 需求爆发共同驱动的涨价潮，典型案例：</w:t>
      </w:r>
    </w:p>
    <w:tbl>
      <w:tblPr>
        <w:tblStyle w:val="TableGrid"/>
        <w:tblW w:type="auto" w:w="0"/>
        <w:jc w:val="center"/>
        <w:tblLook w:firstColumn="1" w:firstRow="1" w:lastColumn="0" w:lastRow="0" w:noHBand="0" w:noVBand="1" w:val="04A0"/>
      </w:tblPr>
      <w:tblGrid>
        <w:gridCol w:w="2880"/>
        <w:gridCol w:w="2880"/>
        <w:gridCol w:w="2880"/>
      </w:tblGrid>
      <w:tr>
        <w:tc>
          <w:tcPr>
            <w:tcW w:type="dxa" w:w="1814"/>
            <w:shd w:val="clear" w:fill="1F3A5F"/>
          </w:tcPr>
          <w:p>
            <w:pPr>
              <w:spacing w:after="40" w:before="40"/>
              <w:jc w:val="center"/>
            </w:pPr>
            <w:r/>
            <w:r>
              <w:rPr>
                <w:rFonts w:ascii="微软雅黑" w:hAnsi="微软雅黑" w:eastAsia="微软雅黑"/>
                <w:b/>
                <w:color w:val="FFFFFF"/>
                <w:sz w:val="19"/>
              </w:rPr>
              <w:t>材料</w:t>
            </w:r>
          </w:p>
        </w:tc>
        <w:tc>
          <w:tcPr>
            <w:tcW w:type="dxa" w:w="2608"/>
            <w:shd w:val="clear" w:fill="1F3A5F"/>
          </w:tcPr>
          <w:p>
            <w:pPr>
              <w:spacing w:after="40" w:before="40"/>
              <w:jc w:val="center"/>
            </w:pPr>
            <w:r/>
            <w:r>
              <w:rPr>
                <w:rFonts w:ascii="微软雅黑" w:hAnsi="微软雅黑" w:eastAsia="微软雅黑"/>
                <w:b/>
                <w:color w:val="FFFFFF"/>
                <w:sz w:val="19"/>
              </w:rPr>
              <w:t>涨价情况</w:t>
            </w:r>
          </w:p>
        </w:tc>
        <w:tc>
          <w:tcPr>
            <w:tcW w:type="dxa" w:w="3969"/>
            <w:shd w:val="clear" w:fill="1F3A5F"/>
          </w:tcPr>
          <w:p>
            <w:pPr>
              <w:spacing w:after="40" w:before="40"/>
              <w:jc w:val="center"/>
            </w:pPr>
            <w:r/>
            <w:r>
              <w:rPr>
                <w:rFonts w:ascii="微软雅黑" w:hAnsi="微软雅黑" w:eastAsia="微软雅黑"/>
                <w:b/>
                <w:color w:val="FFFFFF"/>
                <w:sz w:val="19"/>
              </w:rPr>
              <w:t>驱动因素</w:t>
            </w:r>
          </w:p>
        </w:tc>
      </w:tr>
      <w:tr>
        <w:tc>
          <w:tcPr>
            <w:tcW w:type="dxa" w:w="1814"/>
          </w:tcPr>
          <w:p>
            <w:pPr>
              <w:spacing w:after="40" w:before="40"/>
            </w:pPr>
            <w:r/>
            <w:r>
              <w:rPr>
                <w:rFonts w:ascii="宋体" w:hAnsi="宋体" w:eastAsia="宋体"/>
                <w:b w:val="0"/>
                <w:sz w:val="19"/>
              </w:rPr>
              <w:t>六氟化钨 (WF6)</w:t>
            </w:r>
          </w:p>
        </w:tc>
        <w:tc>
          <w:tcPr>
            <w:tcW w:type="dxa" w:w="2608"/>
          </w:tcPr>
          <w:p>
            <w:pPr>
              <w:spacing w:after="40" w:before="40"/>
              <w:jc w:val="center"/>
            </w:pPr>
            <w:r/>
            <w:r>
              <w:rPr>
                <w:rFonts w:ascii="宋体" w:hAnsi="宋体" w:eastAsia="宋体"/>
                <w:b w:val="0"/>
                <w:sz w:val="19"/>
              </w:rPr>
              <w:t>年内暴涨约 232.7%</w:t>
            </w:r>
          </w:p>
        </w:tc>
        <w:tc>
          <w:tcPr>
            <w:tcW w:type="dxa" w:w="3969"/>
          </w:tcPr>
          <w:p>
            <w:pPr>
              <w:spacing w:after="40" w:before="40"/>
              <w:jc w:val="center"/>
            </w:pPr>
            <w:r/>
            <w:r>
              <w:rPr>
                <w:rFonts w:ascii="宋体" w:hAnsi="宋体" w:eastAsia="宋体"/>
                <w:b w:val="0"/>
                <w:sz w:val="19"/>
              </w:rPr>
              <w:t>日本主供应商面临停产、钨原料涨价、新产能释放慢</w:t>
            </w:r>
          </w:p>
        </w:tc>
      </w:tr>
      <w:tr>
        <w:tc>
          <w:tcPr>
            <w:tcW w:type="dxa" w:w="1814"/>
            <w:shd w:val="clear" w:fill="EEF3F8"/>
          </w:tcPr>
          <w:p>
            <w:pPr>
              <w:spacing w:after="40" w:before="40"/>
            </w:pPr>
            <w:r/>
            <w:r>
              <w:rPr>
                <w:rFonts w:ascii="宋体" w:hAnsi="宋体" w:eastAsia="宋体"/>
                <w:b w:val="0"/>
                <w:sz w:val="19"/>
              </w:rPr>
              <w:t>硅片 (Wafer)</w:t>
            </w:r>
          </w:p>
        </w:tc>
        <w:tc>
          <w:tcPr>
            <w:tcW w:type="dxa" w:w="2608"/>
            <w:shd w:val="clear" w:fill="EEF3F8"/>
          </w:tcPr>
          <w:p>
            <w:pPr>
              <w:spacing w:after="40" w:before="40"/>
              <w:jc w:val="center"/>
            </w:pPr>
            <w:r/>
            <w:r>
              <w:rPr>
                <w:rFonts w:ascii="宋体" w:hAnsi="宋体" w:eastAsia="宋体"/>
                <w:b w:val="0"/>
                <w:sz w:val="19"/>
              </w:rPr>
              <w:t>2026 年"涨价大年"，多轮提价</w:t>
            </w:r>
          </w:p>
        </w:tc>
        <w:tc>
          <w:tcPr>
            <w:tcW w:type="dxa" w:w="3969"/>
            <w:shd w:val="clear" w:fill="EEF3F8"/>
          </w:tcPr>
          <w:p>
            <w:pPr>
              <w:spacing w:after="40" w:before="40"/>
              <w:jc w:val="center"/>
            </w:pPr>
            <w:r/>
            <w:r>
              <w:rPr>
                <w:rFonts w:ascii="宋体" w:hAnsi="宋体" w:eastAsia="宋体"/>
                <w:b w:val="0"/>
                <w:sz w:val="19"/>
              </w:rPr>
              <w:t>长协到期重谈、AI 需求翻倍、供需反转</w:t>
            </w:r>
          </w:p>
        </w:tc>
      </w:tr>
      <w:tr>
        <w:tc>
          <w:tcPr>
            <w:tcW w:type="dxa" w:w="1814"/>
          </w:tcPr>
          <w:p>
            <w:pPr>
              <w:spacing w:after="40" w:before="40"/>
            </w:pPr>
            <w:r/>
            <w:r>
              <w:rPr>
                <w:rFonts w:ascii="宋体" w:hAnsi="宋体" w:eastAsia="宋体"/>
                <w:b w:val="0"/>
                <w:sz w:val="19"/>
              </w:rPr>
              <w:t>存储芯片</w:t>
            </w:r>
          </w:p>
        </w:tc>
        <w:tc>
          <w:tcPr>
            <w:tcW w:type="dxa" w:w="2608"/>
          </w:tcPr>
          <w:p>
            <w:pPr>
              <w:spacing w:after="40" w:before="40"/>
              <w:jc w:val="center"/>
            </w:pPr>
            <w:r/>
            <w:r>
              <w:rPr>
                <w:rFonts w:ascii="宋体" w:hAnsi="宋体" w:eastAsia="宋体"/>
                <w:b w:val="0"/>
                <w:sz w:val="19"/>
              </w:rPr>
              <w:t>单季最高涨价约 75%</w:t>
            </w:r>
          </w:p>
        </w:tc>
        <w:tc>
          <w:tcPr>
            <w:tcW w:type="dxa" w:w="3969"/>
          </w:tcPr>
          <w:p>
            <w:pPr>
              <w:spacing w:after="40" w:before="40"/>
              <w:jc w:val="center"/>
            </w:pPr>
            <w:r/>
            <w:r>
              <w:rPr>
                <w:rFonts w:ascii="宋体" w:hAnsi="宋体" w:eastAsia="宋体"/>
                <w:b w:val="0"/>
                <w:sz w:val="19"/>
              </w:rPr>
              <w:t>景气全面上行（间接抬升材料需求）</w:t>
            </w:r>
          </w:p>
        </w:tc>
      </w:tr>
      <w:tr>
        <w:tc>
          <w:tcPr>
            <w:tcW w:type="dxa" w:w="1814"/>
            <w:shd w:val="clear" w:fill="EEF3F8"/>
          </w:tcPr>
          <w:p>
            <w:pPr>
              <w:spacing w:after="40" w:before="40"/>
            </w:pPr>
            <w:r/>
            <w:r>
              <w:rPr>
                <w:rFonts w:ascii="宋体" w:hAnsi="宋体" w:eastAsia="宋体"/>
                <w:b w:val="0"/>
                <w:sz w:val="19"/>
              </w:rPr>
              <w:t>小金属/上游原料</w:t>
            </w:r>
          </w:p>
        </w:tc>
        <w:tc>
          <w:tcPr>
            <w:tcW w:type="dxa" w:w="2608"/>
            <w:shd w:val="clear" w:fill="EEF3F8"/>
          </w:tcPr>
          <w:p>
            <w:pPr>
              <w:spacing w:after="40" w:before="40"/>
              <w:jc w:val="center"/>
            </w:pPr>
            <w:r/>
            <w:r>
              <w:rPr>
                <w:rFonts w:ascii="宋体" w:hAnsi="宋体" w:eastAsia="宋体"/>
                <w:b w:val="0"/>
                <w:sz w:val="19"/>
              </w:rPr>
              <w:t>普遍上涨</w:t>
            </w:r>
          </w:p>
        </w:tc>
        <w:tc>
          <w:tcPr>
            <w:tcW w:type="dxa" w:w="3969"/>
            <w:shd w:val="clear" w:fill="EEF3F8"/>
          </w:tcPr>
          <w:p>
            <w:pPr>
              <w:spacing w:after="40" w:before="40"/>
              <w:jc w:val="center"/>
            </w:pPr>
            <w:r/>
            <w:r>
              <w:rPr>
                <w:rFonts w:ascii="宋体" w:hAnsi="宋体" w:eastAsia="宋体"/>
                <w:b w:val="0"/>
                <w:sz w:val="19"/>
              </w:rPr>
              <w:t>产业链从价格战转向利润修复</w:t>
            </w:r>
          </w:p>
        </w:tc>
      </w:tr>
    </w:tbl>
    <w:p>
      <w:pPr>
        <w:spacing w:after="120"/>
        <w:ind w:firstLine="420"/>
      </w:pPr>
      <w:r>
        <w:rPr>
          <w:rFonts w:ascii="宋体" w:hAnsi="宋体" w:eastAsia="宋体"/>
          <w:b w:val="0"/>
          <w:i w:val="0"/>
          <w:sz w:val="21"/>
        </w:rPr>
        <w:t>行业叙事已从 2025 年的"价格战"明确转向 2026 年的"利润修复"。涨价潮 4 月底启动、6 月下旬进入高峰，并预计延伸至 2027 年。</w:t>
      </w:r>
    </w:p>
    <w:p>
      <w:pPr>
        <w:spacing w:before="220" w:after="100"/>
      </w:pPr>
      <w:r>
        <w:rPr>
          <w:rFonts w:ascii="微软雅黑" w:hAnsi="微软雅黑" w:eastAsia="微软雅黑"/>
          <w:b/>
          <w:color w:val="2E6DA4"/>
          <w:sz w:val="24"/>
        </w:rPr>
        <w:t>3.3 CMP 与湿电子化学品的供需与价格判断</w:t>
      </w:r>
    </w:p>
    <w:p>
      <w:pPr>
        <w:spacing w:after="120"/>
        <w:ind w:firstLine="420"/>
      </w:pPr>
      <w:r>
        <w:rPr>
          <w:rFonts w:ascii="宋体" w:hAnsi="宋体" w:eastAsia="宋体"/>
          <w:b w:val="0"/>
          <w:i w:val="0"/>
          <w:sz w:val="21"/>
        </w:rPr>
        <w:t>CMP 材料市场本身处于"国产替代加速 + 涨价周期"的叠加状态。全球 CMP 抛光液市场规模持续扩张，中国市场国产化替代显著提速，被业界称为 AI 与存储升级驱动的"黄金十年"。湿电子化学品方面，2026 年中国需求量预计达数百万吨级，国产替代深度与广度双升。</w:t>
      </w:r>
    </w:p>
    <w:p>
      <w:pPr>
        <w:spacing w:before="120" w:after="60"/>
      </w:pPr>
      <w:r>
        <w:rPr>
          <w:rFonts w:ascii="微软雅黑" w:hAnsi="微软雅黑" w:eastAsia="微软雅黑"/>
          <w:b/>
          <w:i w:val="0"/>
          <w:color w:val="1F3A5F"/>
          <w:sz w:val="21"/>
        </w:rPr>
        <w:t>关键判断：安集的产品是"涨价"还是"降价"？</w:t>
      </w:r>
    </w:p>
    <w:p>
      <w:pPr>
        <w:spacing w:after="120"/>
        <w:ind w:firstLine="420"/>
      </w:pPr>
      <w:r>
        <w:rPr>
          <w:rFonts w:ascii="宋体" w:hAnsi="宋体" w:eastAsia="宋体"/>
          <w:b w:val="0"/>
          <w:i w:val="0"/>
          <w:sz w:val="21"/>
        </w:rPr>
        <w:t>这是本部分最需要厘清的问题，因为"国产替代往往伴随价格战"是常识性担忧。但综合证据，安集所处的细分领域更可能呈现"价格稳中有升 / 结构性提价"而非简单降价，理由有三：</w:t>
      </w:r>
    </w:p>
    <w:p>
      <w:pPr>
        <w:pStyle w:val="ListBullet"/>
        <w:spacing w:after="60"/>
      </w:pPr>
      <w:r>
        <w:rPr>
          <w:rFonts w:ascii="宋体" w:hAnsi="宋体" w:eastAsia="宋体"/>
          <w:b/>
          <w:color w:val="1F3A5F"/>
          <w:sz w:val="21"/>
        </w:rPr>
        <w:t>安集在市占率提升的同时，功能性湿电子化学品毛利率不降反升，说明其增长不是靠低价抢单，而是靠高端产品与新品溢价。</w:t>
      </w:r>
      <w:r>
        <w:rPr>
          <w:rFonts w:ascii="宋体" w:hAnsi="宋体" w:eastAsia="宋体"/>
          <w:sz w:val="21"/>
        </w:rPr>
        <w:t>量价齐升的实证：</w:t>
      </w:r>
    </w:p>
    <w:p>
      <w:pPr>
        <w:pStyle w:val="ListBullet"/>
        <w:spacing w:after="60"/>
      </w:pPr>
      <w:r>
        <w:rPr>
          <w:rFonts w:ascii="宋体" w:hAnsi="宋体" w:eastAsia="宋体"/>
          <w:b/>
          <w:color w:val="1F3A5F"/>
          <w:sz w:val="21"/>
        </w:rPr>
        <w:t>在六氟化钨、硅片等全面涨价、Fab 高稼动率的背景下，下游对材料"保供"的诉求高于"压价"，材料商定价权阶段性增强。</w:t>
      </w:r>
      <w:r>
        <w:rPr>
          <w:rFonts w:ascii="宋体" w:hAnsi="宋体" w:eastAsia="宋体"/>
          <w:sz w:val="21"/>
        </w:rPr>
        <w:t>供需结构性紧张：</w:t>
      </w:r>
    </w:p>
    <w:p>
      <w:pPr>
        <w:pStyle w:val="ListBullet"/>
        <w:spacing w:after="60"/>
      </w:pPr>
      <w:r>
        <w:rPr>
          <w:rFonts w:ascii="宋体" w:hAnsi="宋体" w:eastAsia="宋体"/>
          <w:b/>
          <w:color w:val="1F3A5F"/>
          <w:sz w:val="21"/>
        </w:rPr>
        <w:t>安集自研磨料、电镀液等新品属于高壁垒环节，竞争是技术与认证的竞争，而非低价竞争。</w:t>
      </w:r>
      <w:r>
        <w:rPr>
          <w:rFonts w:ascii="宋体" w:hAnsi="宋体" w:eastAsia="宋体"/>
          <w:sz w:val="21"/>
        </w:rPr>
        <w:t>技术导向而非价格导向：</w:t>
      </w:r>
    </w:p>
    <w:p>
      <w:pPr>
        <w:spacing w:before="120" w:after="60"/>
      </w:pPr>
      <w:r>
        <w:rPr>
          <w:rFonts w:ascii="微软雅黑" w:hAnsi="微软雅黑" w:eastAsia="微软雅黑"/>
          <w:b/>
          <w:i w:val="0"/>
          <w:color w:val="2E6DA4"/>
          <w:sz w:val="21"/>
        </w:rPr>
        <w:t>未来几个月涨价概率判断</w:t>
      </w:r>
    </w:p>
    <w:tbl>
      <w:tblPr>
        <w:tblStyle w:val="TableGrid"/>
        <w:tblW w:type="auto" w:w="0"/>
        <w:jc w:val="center"/>
        <w:tblLook w:firstColumn="1" w:firstRow="1" w:lastColumn="0" w:lastRow="0" w:noHBand="0" w:noVBand="1" w:val="04A0"/>
      </w:tblPr>
      <w:tblGrid>
        <w:gridCol w:w="2880"/>
        <w:gridCol w:w="2880"/>
        <w:gridCol w:w="2880"/>
      </w:tblGrid>
      <w:tr>
        <w:tc>
          <w:tcPr>
            <w:tcW w:type="dxa" w:w="2948"/>
            <w:shd w:val="clear" w:fill="1F3A5F"/>
          </w:tcPr>
          <w:p>
            <w:pPr>
              <w:spacing w:after="40" w:before="40"/>
              <w:jc w:val="center"/>
            </w:pPr>
            <w:r/>
            <w:r>
              <w:rPr>
                <w:rFonts w:ascii="微软雅黑" w:hAnsi="微软雅黑" w:eastAsia="微软雅黑"/>
                <w:b/>
                <w:color w:val="FFFFFF"/>
                <w:sz w:val="18"/>
              </w:rPr>
              <w:t>情景</w:t>
            </w:r>
          </w:p>
        </w:tc>
        <w:tc>
          <w:tcPr>
            <w:tcW w:type="dxa" w:w="1814"/>
            <w:shd w:val="clear" w:fill="1F3A5F"/>
          </w:tcPr>
          <w:p>
            <w:pPr>
              <w:spacing w:after="40" w:before="40"/>
              <w:jc w:val="center"/>
            </w:pPr>
            <w:r/>
            <w:r>
              <w:rPr>
                <w:rFonts w:ascii="微软雅黑" w:hAnsi="微软雅黑" w:eastAsia="微软雅黑"/>
                <w:b/>
                <w:color w:val="FFFFFF"/>
                <w:sz w:val="18"/>
              </w:rPr>
              <w:t>概率(主观估计)</w:t>
            </w:r>
          </w:p>
        </w:tc>
        <w:tc>
          <w:tcPr>
            <w:tcW w:type="dxa" w:w="3628"/>
            <w:shd w:val="clear" w:fill="1F3A5F"/>
          </w:tcPr>
          <w:p>
            <w:pPr>
              <w:spacing w:after="40" w:before="40"/>
              <w:jc w:val="center"/>
            </w:pPr>
            <w:r/>
            <w:r>
              <w:rPr>
                <w:rFonts w:ascii="微软雅黑" w:hAnsi="微软雅黑" w:eastAsia="微软雅黑"/>
                <w:b/>
                <w:color w:val="FFFFFF"/>
                <w:sz w:val="18"/>
              </w:rPr>
              <w:t>逻辑</w:t>
            </w:r>
          </w:p>
        </w:tc>
      </w:tr>
      <w:tr>
        <w:tc>
          <w:tcPr>
            <w:tcW w:type="dxa" w:w="2948"/>
          </w:tcPr>
          <w:p>
            <w:pPr>
              <w:spacing w:after="40" w:before="40"/>
            </w:pPr>
            <w:r/>
            <w:r>
              <w:rPr>
                <w:rFonts w:ascii="宋体" w:hAnsi="宋体" w:eastAsia="宋体"/>
                <w:b w:val="0"/>
                <w:sz w:val="18"/>
              </w:rPr>
              <w:t>存量 CMP 抛光液直接提价</w:t>
            </w:r>
          </w:p>
        </w:tc>
        <w:tc>
          <w:tcPr>
            <w:tcW w:type="dxa" w:w="1814"/>
          </w:tcPr>
          <w:p>
            <w:pPr>
              <w:spacing w:after="40" w:before="40"/>
              <w:jc w:val="center"/>
            </w:pPr>
            <w:r/>
            <w:r>
              <w:rPr>
                <w:rFonts w:ascii="宋体" w:hAnsi="宋体" w:eastAsia="宋体"/>
                <w:b w:val="0"/>
                <w:sz w:val="18"/>
              </w:rPr>
              <w:t>中等偏低 (25–35%)</w:t>
            </w:r>
          </w:p>
        </w:tc>
        <w:tc>
          <w:tcPr>
            <w:tcW w:type="dxa" w:w="3628"/>
          </w:tcPr>
          <w:p>
            <w:pPr>
              <w:spacing w:after="40" w:before="40"/>
              <w:jc w:val="center"/>
            </w:pPr>
            <w:r/>
            <w:r>
              <w:rPr>
                <w:rFonts w:ascii="宋体" w:hAnsi="宋体" w:eastAsia="宋体"/>
                <w:b w:val="0"/>
                <w:sz w:val="18"/>
              </w:rPr>
              <w:t>长单+认证关系下直接提价阻力大，更可能温和调价或随原料联动</w:t>
            </w:r>
          </w:p>
        </w:tc>
      </w:tr>
      <w:tr>
        <w:tc>
          <w:tcPr>
            <w:tcW w:type="dxa" w:w="2948"/>
            <w:shd w:val="clear" w:fill="EEF3F8"/>
          </w:tcPr>
          <w:p>
            <w:pPr>
              <w:spacing w:after="40" w:before="40"/>
            </w:pPr>
            <w:r/>
            <w:r>
              <w:rPr>
                <w:rFonts w:ascii="宋体" w:hAnsi="宋体" w:eastAsia="宋体"/>
                <w:b w:val="0"/>
                <w:sz w:val="18"/>
              </w:rPr>
              <w:t>通过产品结构升级实现"等效涨价"</w:t>
            </w:r>
          </w:p>
        </w:tc>
        <w:tc>
          <w:tcPr>
            <w:tcW w:type="dxa" w:w="1814"/>
            <w:shd w:val="clear" w:fill="EEF3F8"/>
          </w:tcPr>
          <w:p>
            <w:pPr>
              <w:spacing w:after="40" w:before="40"/>
              <w:jc w:val="center"/>
            </w:pPr>
            <w:r/>
            <w:r>
              <w:rPr>
                <w:rFonts w:ascii="宋体" w:hAnsi="宋体" w:eastAsia="宋体"/>
                <w:b w:val="0"/>
                <w:sz w:val="18"/>
              </w:rPr>
              <w:t>高 (60–70%)</w:t>
            </w:r>
          </w:p>
        </w:tc>
        <w:tc>
          <w:tcPr>
            <w:tcW w:type="dxa" w:w="3628"/>
            <w:shd w:val="clear" w:fill="EEF3F8"/>
          </w:tcPr>
          <w:p>
            <w:pPr>
              <w:spacing w:after="40" w:before="40"/>
              <w:jc w:val="center"/>
            </w:pPr>
            <w:r/>
            <w:r>
              <w:rPr>
                <w:rFonts w:ascii="宋体" w:hAnsi="宋体" w:eastAsia="宋体"/>
                <w:b w:val="0"/>
                <w:sz w:val="18"/>
              </w:rPr>
              <w:t>自研磨料/高端新品占比提升，综合单价与毛利上行</w:t>
            </w:r>
          </w:p>
        </w:tc>
      </w:tr>
      <w:tr>
        <w:tc>
          <w:tcPr>
            <w:tcW w:type="dxa" w:w="2948"/>
          </w:tcPr>
          <w:p>
            <w:pPr>
              <w:spacing w:after="40" w:before="40"/>
            </w:pPr>
            <w:r/>
            <w:r>
              <w:rPr>
                <w:rFonts w:ascii="宋体" w:hAnsi="宋体" w:eastAsia="宋体"/>
                <w:b w:val="0"/>
                <w:sz w:val="18"/>
              </w:rPr>
              <w:t>电镀液等新品贡献增量高毛利</w:t>
            </w:r>
          </w:p>
        </w:tc>
        <w:tc>
          <w:tcPr>
            <w:tcW w:type="dxa" w:w="1814"/>
          </w:tcPr>
          <w:p>
            <w:pPr>
              <w:spacing w:after="40" w:before="40"/>
              <w:jc w:val="center"/>
            </w:pPr>
            <w:r/>
            <w:r>
              <w:rPr>
                <w:rFonts w:ascii="宋体" w:hAnsi="宋体" w:eastAsia="宋体"/>
                <w:b w:val="0"/>
                <w:sz w:val="18"/>
              </w:rPr>
              <w:t>高 (确定性强)</w:t>
            </w:r>
          </w:p>
        </w:tc>
        <w:tc>
          <w:tcPr>
            <w:tcW w:type="dxa" w:w="3628"/>
          </w:tcPr>
          <w:p>
            <w:pPr>
              <w:spacing w:after="40" w:before="40"/>
              <w:jc w:val="center"/>
            </w:pPr>
            <w:r/>
            <w:r>
              <w:rPr>
                <w:rFonts w:ascii="宋体" w:hAnsi="宋体" w:eastAsia="宋体"/>
                <w:b w:val="0"/>
                <w:sz w:val="18"/>
              </w:rPr>
              <w:t>新品定价权较强，放量即增厚利润</w:t>
            </w:r>
          </w:p>
        </w:tc>
      </w:tr>
      <w:tr>
        <w:tc>
          <w:tcPr>
            <w:tcW w:type="dxa" w:w="2948"/>
            <w:shd w:val="clear" w:fill="EEF3F8"/>
          </w:tcPr>
          <w:p>
            <w:pPr>
              <w:spacing w:after="40" w:before="40"/>
            </w:pPr>
            <w:r/>
            <w:r>
              <w:rPr>
                <w:rFonts w:ascii="宋体" w:hAnsi="宋体" w:eastAsia="宋体"/>
                <w:b w:val="0"/>
                <w:sz w:val="18"/>
              </w:rPr>
              <w:t>原材料成本上涨被动传导</w:t>
            </w:r>
          </w:p>
        </w:tc>
        <w:tc>
          <w:tcPr>
            <w:tcW w:type="dxa" w:w="1814"/>
            <w:shd w:val="clear" w:fill="EEF3F8"/>
          </w:tcPr>
          <w:p>
            <w:pPr>
              <w:spacing w:after="40" w:before="40"/>
              <w:jc w:val="center"/>
            </w:pPr>
            <w:r/>
            <w:r>
              <w:rPr>
                <w:rFonts w:ascii="宋体" w:hAnsi="宋体" w:eastAsia="宋体"/>
                <w:b w:val="0"/>
                <w:sz w:val="18"/>
              </w:rPr>
              <w:t>中等</w:t>
            </w:r>
          </w:p>
        </w:tc>
        <w:tc>
          <w:tcPr>
            <w:tcW w:type="dxa" w:w="3628"/>
            <w:shd w:val="clear" w:fill="EEF3F8"/>
          </w:tcPr>
          <w:p>
            <w:pPr>
              <w:spacing w:after="40" w:before="40"/>
              <w:jc w:val="center"/>
            </w:pPr>
            <w:r/>
            <w:r>
              <w:rPr>
                <w:rFonts w:ascii="宋体" w:hAnsi="宋体" w:eastAsia="宋体"/>
                <w:b w:val="0"/>
                <w:sz w:val="18"/>
              </w:rPr>
              <w:t>上游涨价或部分向下游传导，但也可能短期挤压毛利</w:t>
            </w:r>
          </w:p>
        </w:tc>
      </w:tr>
    </w:tbl>
    <w:p>
      <w:pPr>
        <w:spacing w:after="120"/>
        <w:ind w:firstLine="420"/>
      </w:pPr>
      <w:r>
        <w:rPr>
          <w:rFonts w:ascii="宋体" w:hAnsi="宋体" w:eastAsia="宋体"/>
          <w:b w:val="0"/>
          <w:i w:val="0"/>
          <w:sz w:val="21"/>
        </w:rPr>
        <w:t>综合判断：未来几个月，安集出现"传统抛光液大幅普涨"的概率不高，但通过"产品结构升级 + 高毛利新品放量"实现的"等效涨价 / 综合单价与毛利率上行"概率较高。这对利润的拉动甚至可能强于简单的目录价格上调。需警惕的反向风险是：若上游磨料、双氧水、硫酸等原材料涨价而公司未能及时传导，短期毛利率反而承压（2025 年毛利率已同比下降约 1.7pct，是这一风险的现实印证）。</w:t>
      </w:r>
    </w:p>
    <w:p>
      <w:r>
        <w:br w:type="page"/>
      </w:r>
    </w:p>
    <w:p>
      <w:pPr>
        <w:spacing w:before="320" w:after="160"/>
        <w:pBdr>
          <w:bottom w:val="single" w:sz="6" w:space="4" w:color="1F3A5F"/>
        </w:pBdr>
      </w:pPr>
      <w:r>
        <w:rPr>
          <w:rFonts w:ascii="微软雅黑" w:hAnsi="微软雅黑" w:eastAsia="微软雅黑"/>
          <w:b/>
          <w:color w:val="1F3A5F"/>
          <w:sz w:val="30"/>
        </w:rPr>
        <w:t>04  2026–2028 盈利预测与估值</w:t>
      </w:r>
    </w:p>
    <w:p>
      <w:pPr>
        <w:spacing w:after="160"/>
      </w:pPr>
      <w:r>
        <w:rPr>
          <w:rFonts w:ascii="宋体" w:hAnsi="宋体" w:eastAsia="宋体"/>
          <w:b w:val="0"/>
          <w:i w:val="0"/>
          <w:color w:val="7A7A7A"/>
          <w:sz w:val="18"/>
        </w:rPr>
        <w:t>方法论说明：以下预测以 2025 年报实际数（营收 25.04 亿、归母净利 7.84 亿）为基数，结合 2026Q1 实际（营收 7.24 亿 +32.8%、净利 2.08 亿 +23.0%）与行业景气、新品放量节奏，设置乐观、中性、悲观三种情景。所有数字为分析推演，非公司指引，亦非投资建议。</w:t>
      </w:r>
    </w:p>
    <w:p>
      <w:pPr>
        <w:spacing w:before="220" w:after="100"/>
      </w:pPr>
      <w:r>
        <w:rPr>
          <w:rFonts w:ascii="微软雅黑" w:hAnsi="微软雅黑" w:eastAsia="微软雅黑"/>
          <w:b/>
          <w:color w:val="2E6DA4"/>
          <w:sz w:val="24"/>
        </w:rPr>
        <w:t>4.1 三情景盈利预测</w:t>
      </w:r>
    </w:p>
    <w:p>
      <w:pPr>
        <w:spacing w:after="60"/>
      </w:pPr>
      <w:r>
        <w:rPr>
          <w:rFonts w:ascii="微软雅黑" w:hAnsi="微软雅黑" w:eastAsia="微软雅黑"/>
          <w:b/>
          <w:i w:val="0"/>
          <w:color w:val="1F3A5F"/>
          <w:sz w:val="21"/>
        </w:rPr>
        <w:t>情景假设核心差异</w:t>
      </w:r>
    </w:p>
    <w:p>
      <w:pPr>
        <w:pStyle w:val="ListBullet"/>
        <w:spacing w:after="60"/>
      </w:pPr>
      <w:r>
        <w:rPr>
          <w:rFonts w:ascii="宋体" w:hAnsi="宋体" w:eastAsia="宋体"/>
          <w:b/>
          <w:color w:val="1F3A5F"/>
          <w:sz w:val="21"/>
        </w:rPr>
        <w:t>电镀液与湿电子化学品超预期放量、市占率加速提升、毛利率企稳回升；收入年增 35–40%，净利增速略快于收入。</w:t>
      </w:r>
      <w:r>
        <w:rPr>
          <w:rFonts w:ascii="宋体" w:hAnsi="宋体" w:eastAsia="宋体"/>
          <w:sz w:val="21"/>
        </w:rPr>
        <w:t>乐观：</w:t>
      </w:r>
    </w:p>
    <w:p>
      <w:pPr>
        <w:pStyle w:val="ListBullet"/>
        <w:spacing w:after="60"/>
      </w:pPr>
      <w:r>
        <w:rPr>
          <w:rFonts w:ascii="宋体" w:hAnsi="宋体" w:eastAsia="宋体"/>
          <w:b/>
          <w:color w:val="1F3A5F"/>
          <w:sz w:val="21"/>
        </w:rPr>
        <w:t>主业稳健 + 新品稳步贡献，增速逐年自然回落；收入年增 25–30%，毛利率基本稳定。</w:t>
      </w:r>
      <w:r>
        <w:rPr>
          <w:rFonts w:ascii="宋体" w:hAnsi="宋体" w:eastAsia="宋体"/>
          <w:sz w:val="21"/>
        </w:rPr>
        <w:t>中性：</w:t>
      </w:r>
    </w:p>
    <w:p>
      <w:pPr>
        <w:pStyle w:val="ListBullet"/>
        <w:spacing w:after="60"/>
      </w:pPr>
      <w:r>
        <w:rPr>
          <w:rFonts w:ascii="宋体" w:hAnsi="宋体" w:eastAsia="宋体"/>
          <w:b/>
          <w:color w:val="1F3A5F"/>
          <w:sz w:val="21"/>
        </w:rPr>
        <w:t>下游扩产不及预期或价格竞争加剧、毛利率继续下滑；收入年增 12–18%，净利增速低于收入。</w:t>
      </w:r>
      <w:r>
        <w:rPr>
          <w:rFonts w:ascii="宋体" w:hAnsi="宋体" w:eastAsia="宋体"/>
          <w:sz w:val="21"/>
        </w:rPr>
        <w:t>悲观：</w:t>
      </w:r>
    </w:p>
    <w:p>
      <w:pPr>
        <w:spacing w:before="120" w:after="60"/>
      </w:pPr>
      <w:r>
        <w:rPr>
          <w:rFonts w:ascii="微软雅黑" w:hAnsi="微软雅黑" w:eastAsia="微软雅黑"/>
          <w:b/>
          <w:i w:val="0"/>
          <w:color w:val="2E6DA4"/>
          <w:sz w:val="21"/>
        </w:rPr>
        <w:t>营业收入预测 (亿元)</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74"/>
            <w:shd w:val="clear" w:fill="1F3A5F"/>
          </w:tcPr>
          <w:p>
            <w:pPr>
              <w:spacing w:after="40" w:before="40"/>
              <w:jc w:val="center"/>
            </w:pPr>
            <w:r/>
            <w:r>
              <w:rPr>
                <w:rFonts w:ascii="微软雅黑" w:hAnsi="微软雅黑" w:eastAsia="微软雅黑"/>
                <w:b/>
                <w:color w:val="FFFFFF"/>
                <w:sz w:val="19"/>
              </w:rPr>
              <w:t>情景</w:t>
            </w:r>
          </w:p>
        </w:tc>
        <w:tc>
          <w:tcPr>
            <w:tcW w:type="dxa" w:w="1361"/>
            <w:shd w:val="clear" w:fill="1F3A5F"/>
          </w:tcPr>
          <w:p>
            <w:pPr>
              <w:spacing w:after="40" w:before="40"/>
              <w:jc w:val="center"/>
            </w:pPr>
            <w:r/>
            <w:r>
              <w:rPr>
                <w:rFonts w:ascii="微软雅黑" w:hAnsi="微软雅黑" w:eastAsia="微软雅黑"/>
                <w:b/>
                <w:color w:val="FFFFFF"/>
                <w:sz w:val="19"/>
              </w:rPr>
              <w:t>2025A</w:t>
            </w:r>
          </w:p>
        </w:tc>
        <w:tc>
          <w:tcPr>
            <w:tcW w:type="dxa" w:w="1361"/>
            <w:shd w:val="clear" w:fill="1F3A5F"/>
          </w:tcPr>
          <w:p>
            <w:pPr>
              <w:spacing w:after="40" w:before="40"/>
              <w:jc w:val="center"/>
            </w:pPr>
            <w:r/>
            <w:r>
              <w:rPr>
                <w:rFonts w:ascii="微软雅黑" w:hAnsi="微软雅黑" w:eastAsia="微软雅黑"/>
                <w:b/>
                <w:color w:val="FFFFFF"/>
                <w:sz w:val="19"/>
              </w:rPr>
              <w:t>2026E</w:t>
            </w:r>
          </w:p>
        </w:tc>
        <w:tc>
          <w:tcPr>
            <w:tcW w:type="dxa" w:w="1361"/>
            <w:shd w:val="clear" w:fill="1F3A5F"/>
          </w:tcPr>
          <w:p>
            <w:pPr>
              <w:spacing w:after="40" w:before="40"/>
              <w:jc w:val="center"/>
            </w:pPr>
            <w:r/>
            <w:r>
              <w:rPr>
                <w:rFonts w:ascii="微软雅黑" w:hAnsi="微软雅黑" w:eastAsia="微软雅黑"/>
                <w:b/>
                <w:color w:val="FFFFFF"/>
                <w:sz w:val="19"/>
              </w:rPr>
              <w:t>2027E</w:t>
            </w:r>
          </w:p>
        </w:tc>
        <w:tc>
          <w:tcPr>
            <w:tcW w:type="dxa" w:w="1361"/>
            <w:shd w:val="clear" w:fill="1F3A5F"/>
          </w:tcPr>
          <w:p>
            <w:pPr>
              <w:spacing w:after="40" w:before="40"/>
              <w:jc w:val="center"/>
            </w:pPr>
            <w:r/>
            <w:r>
              <w:rPr>
                <w:rFonts w:ascii="微软雅黑" w:hAnsi="微软雅黑" w:eastAsia="微软雅黑"/>
                <w:b/>
                <w:color w:val="FFFFFF"/>
                <w:sz w:val="19"/>
              </w:rPr>
              <w:t>2028E</w:t>
            </w:r>
          </w:p>
        </w:tc>
        <w:tc>
          <w:tcPr>
            <w:tcW w:type="dxa" w:w="1474"/>
            <w:shd w:val="clear" w:fill="1F3A5F"/>
          </w:tcPr>
          <w:p>
            <w:pPr>
              <w:spacing w:after="40" w:before="40"/>
              <w:jc w:val="center"/>
            </w:pPr>
            <w:r/>
            <w:r>
              <w:rPr>
                <w:rFonts w:ascii="微软雅黑" w:hAnsi="微软雅黑" w:eastAsia="微软雅黑"/>
                <w:b/>
                <w:color w:val="FFFFFF"/>
                <w:sz w:val="19"/>
              </w:rPr>
              <w:t>26–28 CAGR</w:t>
            </w:r>
          </w:p>
        </w:tc>
      </w:tr>
      <w:tr>
        <w:tc>
          <w:tcPr>
            <w:tcW w:type="dxa" w:w="1474"/>
          </w:tcPr>
          <w:p>
            <w:pPr>
              <w:spacing w:after="40" w:before="40"/>
            </w:pPr>
            <w:r/>
            <w:r>
              <w:rPr>
                <w:rFonts w:ascii="宋体" w:hAnsi="宋体" w:eastAsia="宋体"/>
                <w:b w:val="0"/>
                <w:sz w:val="19"/>
              </w:rPr>
              <w:t>乐观</w:t>
            </w:r>
          </w:p>
        </w:tc>
        <w:tc>
          <w:tcPr>
            <w:tcW w:type="dxa" w:w="1361"/>
          </w:tcPr>
          <w:p>
            <w:pPr>
              <w:spacing w:after="40" w:before="40"/>
              <w:jc w:val="center"/>
            </w:pPr>
            <w:r/>
            <w:r>
              <w:rPr>
                <w:rFonts w:ascii="宋体" w:hAnsi="宋体" w:eastAsia="宋体"/>
                <w:b w:val="0"/>
                <w:sz w:val="19"/>
              </w:rPr>
              <w:t>25.0</w:t>
            </w:r>
          </w:p>
        </w:tc>
        <w:tc>
          <w:tcPr>
            <w:tcW w:type="dxa" w:w="1361"/>
          </w:tcPr>
          <w:p>
            <w:pPr>
              <w:spacing w:after="40" w:before="40"/>
              <w:jc w:val="center"/>
            </w:pPr>
            <w:r/>
            <w:r>
              <w:rPr>
                <w:rFonts w:ascii="宋体" w:hAnsi="宋体" w:eastAsia="宋体"/>
                <w:b w:val="0"/>
                <w:sz w:val="19"/>
              </w:rPr>
              <w:t>34.5</w:t>
            </w:r>
          </w:p>
        </w:tc>
        <w:tc>
          <w:tcPr>
            <w:tcW w:type="dxa" w:w="1361"/>
          </w:tcPr>
          <w:p>
            <w:pPr>
              <w:spacing w:after="40" w:before="40"/>
              <w:jc w:val="center"/>
            </w:pPr>
            <w:r/>
            <w:r>
              <w:rPr>
                <w:rFonts w:ascii="宋体" w:hAnsi="宋体" w:eastAsia="宋体"/>
                <w:b w:val="0"/>
                <w:sz w:val="19"/>
              </w:rPr>
              <w:t>47.0</w:t>
            </w:r>
          </w:p>
        </w:tc>
        <w:tc>
          <w:tcPr>
            <w:tcW w:type="dxa" w:w="1361"/>
          </w:tcPr>
          <w:p>
            <w:pPr>
              <w:spacing w:after="40" w:before="40"/>
              <w:jc w:val="center"/>
            </w:pPr>
            <w:r/>
            <w:r>
              <w:rPr>
                <w:rFonts w:ascii="宋体" w:hAnsi="宋体" w:eastAsia="宋体"/>
                <w:b w:val="0"/>
                <w:sz w:val="19"/>
              </w:rPr>
              <w:t>63.0</w:t>
            </w:r>
          </w:p>
        </w:tc>
        <w:tc>
          <w:tcPr>
            <w:tcW w:type="dxa" w:w="1474"/>
          </w:tcPr>
          <w:p>
            <w:pPr>
              <w:spacing w:after="40" w:before="40"/>
              <w:jc w:val="center"/>
            </w:pPr>
            <w:r/>
            <w:r>
              <w:rPr>
                <w:rFonts w:ascii="宋体" w:hAnsi="宋体" w:eastAsia="宋体"/>
                <w:b w:val="0"/>
                <w:sz w:val="19"/>
              </w:rPr>
              <w:t>≈36%</w:t>
            </w:r>
          </w:p>
        </w:tc>
      </w:tr>
      <w:tr>
        <w:tc>
          <w:tcPr>
            <w:tcW w:type="dxa" w:w="1474"/>
            <w:shd w:val="clear" w:fill="EEF3F8"/>
          </w:tcPr>
          <w:p>
            <w:pPr>
              <w:spacing w:after="40" w:before="40"/>
            </w:pPr>
            <w:r/>
            <w:r>
              <w:rPr>
                <w:rFonts w:ascii="宋体" w:hAnsi="宋体" w:eastAsia="宋体"/>
                <w:b w:val="0"/>
                <w:sz w:val="19"/>
              </w:rPr>
              <w:t>中性</w:t>
            </w:r>
          </w:p>
        </w:tc>
        <w:tc>
          <w:tcPr>
            <w:tcW w:type="dxa" w:w="1361"/>
            <w:shd w:val="clear" w:fill="EEF3F8"/>
          </w:tcPr>
          <w:p>
            <w:pPr>
              <w:spacing w:after="40" w:before="40"/>
              <w:jc w:val="center"/>
            </w:pPr>
            <w:r/>
            <w:r>
              <w:rPr>
                <w:rFonts w:ascii="宋体" w:hAnsi="宋体" w:eastAsia="宋体"/>
                <w:b w:val="0"/>
                <w:sz w:val="19"/>
              </w:rPr>
              <w:t>25.0</w:t>
            </w:r>
          </w:p>
        </w:tc>
        <w:tc>
          <w:tcPr>
            <w:tcW w:type="dxa" w:w="1361"/>
            <w:shd w:val="clear" w:fill="EEF3F8"/>
          </w:tcPr>
          <w:p>
            <w:pPr>
              <w:spacing w:after="40" w:before="40"/>
              <w:jc w:val="center"/>
            </w:pPr>
            <w:r/>
            <w:r>
              <w:rPr>
                <w:rFonts w:ascii="宋体" w:hAnsi="宋体" w:eastAsia="宋体"/>
                <w:b w:val="0"/>
                <w:sz w:val="19"/>
              </w:rPr>
              <w:t>32.0</w:t>
            </w:r>
          </w:p>
        </w:tc>
        <w:tc>
          <w:tcPr>
            <w:tcW w:type="dxa" w:w="1361"/>
            <w:shd w:val="clear" w:fill="EEF3F8"/>
          </w:tcPr>
          <w:p>
            <w:pPr>
              <w:spacing w:after="40" w:before="40"/>
              <w:jc w:val="center"/>
            </w:pPr>
            <w:r/>
            <w:r>
              <w:rPr>
                <w:rFonts w:ascii="宋体" w:hAnsi="宋体" w:eastAsia="宋体"/>
                <w:b w:val="0"/>
                <w:sz w:val="19"/>
              </w:rPr>
              <w:t>40.5</w:t>
            </w:r>
          </w:p>
        </w:tc>
        <w:tc>
          <w:tcPr>
            <w:tcW w:type="dxa" w:w="1361"/>
            <w:shd w:val="clear" w:fill="EEF3F8"/>
          </w:tcPr>
          <w:p>
            <w:pPr>
              <w:spacing w:after="40" w:before="40"/>
              <w:jc w:val="center"/>
            </w:pPr>
            <w:r/>
            <w:r>
              <w:rPr>
                <w:rFonts w:ascii="宋体" w:hAnsi="宋体" w:eastAsia="宋体"/>
                <w:b w:val="0"/>
                <w:sz w:val="19"/>
              </w:rPr>
              <w:t>50.0</w:t>
            </w:r>
          </w:p>
        </w:tc>
        <w:tc>
          <w:tcPr>
            <w:tcW w:type="dxa" w:w="1474"/>
            <w:shd w:val="clear" w:fill="EEF3F8"/>
          </w:tcPr>
          <w:p>
            <w:pPr>
              <w:spacing w:after="40" w:before="40"/>
              <w:jc w:val="center"/>
            </w:pPr>
            <w:r/>
            <w:r>
              <w:rPr>
                <w:rFonts w:ascii="宋体" w:hAnsi="宋体" w:eastAsia="宋体"/>
                <w:b w:val="0"/>
                <w:sz w:val="19"/>
              </w:rPr>
              <w:t>≈26%</w:t>
            </w:r>
          </w:p>
        </w:tc>
      </w:tr>
      <w:tr>
        <w:tc>
          <w:tcPr>
            <w:tcW w:type="dxa" w:w="1474"/>
          </w:tcPr>
          <w:p>
            <w:pPr>
              <w:spacing w:after="40" w:before="40"/>
            </w:pPr>
            <w:r/>
            <w:r>
              <w:rPr>
                <w:rFonts w:ascii="宋体" w:hAnsi="宋体" w:eastAsia="宋体"/>
                <w:b w:val="0"/>
                <w:sz w:val="19"/>
              </w:rPr>
              <w:t>悲观</w:t>
            </w:r>
          </w:p>
        </w:tc>
        <w:tc>
          <w:tcPr>
            <w:tcW w:type="dxa" w:w="1361"/>
          </w:tcPr>
          <w:p>
            <w:pPr>
              <w:spacing w:after="40" w:before="40"/>
              <w:jc w:val="center"/>
            </w:pPr>
            <w:r/>
            <w:r>
              <w:rPr>
                <w:rFonts w:ascii="宋体" w:hAnsi="宋体" w:eastAsia="宋体"/>
                <w:b w:val="0"/>
                <w:sz w:val="19"/>
              </w:rPr>
              <w:t>25.0</w:t>
            </w:r>
          </w:p>
        </w:tc>
        <w:tc>
          <w:tcPr>
            <w:tcW w:type="dxa" w:w="1361"/>
          </w:tcPr>
          <w:p>
            <w:pPr>
              <w:spacing w:after="40" w:before="40"/>
              <w:jc w:val="center"/>
            </w:pPr>
            <w:r/>
            <w:r>
              <w:rPr>
                <w:rFonts w:ascii="宋体" w:hAnsi="宋体" w:eastAsia="宋体"/>
                <w:b w:val="0"/>
                <w:sz w:val="19"/>
              </w:rPr>
              <w:t>29.0</w:t>
            </w:r>
          </w:p>
        </w:tc>
        <w:tc>
          <w:tcPr>
            <w:tcW w:type="dxa" w:w="1361"/>
          </w:tcPr>
          <w:p>
            <w:pPr>
              <w:spacing w:after="40" w:before="40"/>
              <w:jc w:val="center"/>
            </w:pPr>
            <w:r/>
            <w:r>
              <w:rPr>
                <w:rFonts w:ascii="宋体" w:hAnsi="宋体" w:eastAsia="宋体"/>
                <w:b w:val="0"/>
                <w:sz w:val="19"/>
              </w:rPr>
              <w:t>33.5</w:t>
            </w:r>
          </w:p>
        </w:tc>
        <w:tc>
          <w:tcPr>
            <w:tcW w:type="dxa" w:w="1361"/>
          </w:tcPr>
          <w:p>
            <w:pPr>
              <w:spacing w:after="40" w:before="40"/>
              <w:jc w:val="center"/>
            </w:pPr>
            <w:r/>
            <w:r>
              <w:rPr>
                <w:rFonts w:ascii="宋体" w:hAnsi="宋体" w:eastAsia="宋体"/>
                <w:b w:val="0"/>
                <w:sz w:val="19"/>
              </w:rPr>
              <w:t>38.5</w:t>
            </w:r>
          </w:p>
        </w:tc>
        <w:tc>
          <w:tcPr>
            <w:tcW w:type="dxa" w:w="1474"/>
          </w:tcPr>
          <w:p>
            <w:pPr>
              <w:spacing w:after="40" w:before="40"/>
              <w:jc w:val="center"/>
            </w:pPr>
            <w:r/>
            <w:r>
              <w:rPr>
                <w:rFonts w:ascii="宋体" w:hAnsi="宋体" w:eastAsia="宋体"/>
                <w:b w:val="0"/>
                <w:sz w:val="19"/>
              </w:rPr>
              <w:t>≈16%</w:t>
            </w:r>
          </w:p>
        </w:tc>
      </w:tr>
    </w:tbl>
    <w:p>
      <w:pPr>
        <w:spacing w:before="120" w:after="60"/>
      </w:pPr>
      <w:r>
        <w:rPr>
          <w:rFonts w:ascii="微软雅黑" w:hAnsi="微软雅黑" w:eastAsia="微软雅黑"/>
          <w:b/>
          <w:i w:val="0"/>
          <w:color w:val="2E6DA4"/>
          <w:sz w:val="21"/>
        </w:rPr>
        <w:t>归母净利润预测 (亿元)</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74"/>
            <w:shd w:val="clear" w:fill="1F3A5F"/>
          </w:tcPr>
          <w:p>
            <w:pPr>
              <w:spacing w:after="40" w:before="40"/>
              <w:jc w:val="center"/>
            </w:pPr>
            <w:r/>
            <w:r>
              <w:rPr>
                <w:rFonts w:ascii="微软雅黑" w:hAnsi="微软雅黑" w:eastAsia="微软雅黑"/>
                <w:b/>
                <w:color w:val="FFFFFF"/>
                <w:sz w:val="19"/>
              </w:rPr>
              <w:t>情景</w:t>
            </w:r>
          </w:p>
        </w:tc>
        <w:tc>
          <w:tcPr>
            <w:tcW w:type="dxa" w:w="1361"/>
            <w:shd w:val="clear" w:fill="1F3A5F"/>
          </w:tcPr>
          <w:p>
            <w:pPr>
              <w:spacing w:after="40" w:before="40"/>
              <w:jc w:val="center"/>
            </w:pPr>
            <w:r/>
            <w:r>
              <w:rPr>
                <w:rFonts w:ascii="微软雅黑" w:hAnsi="微软雅黑" w:eastAsia="微软雅黑"/>
                <w:b/>
                <w:color w:val="FFFFFF"/>
                <w:sz w:val="19"/>
              </w:rPr>
              <w:t>2025A</w:t>
            </w:r>
          </w:p>
        </w:tc>
        <w:tc>
          <w:tcPr>
            <w:tcW w:type="dxa" w:w="1361"/>
            <w:shd w:val="clear" w:fill="1F3A5F"/>
          </w:tcPr>
          <w:p>
            <w:pPr>
              <w:spacing w:after="40" w:before="40"/>
              <w:jc w:val="center"/>
            </w:pPr>
            <w:r/>
            <w:r>
              <w:rPr>
                <w:rFonts w:ascii="微软雅黑" w:hAnsi="微软雅黑" w:eastAsia="微软雅黑"/>
                <w:b/>
                <w:color w:val="FFFFFF"/>
                <w:sz w:val="19"/>
              </w:rPr>
              <w:t>2026E</w:t>
            </w:r>
          </w:p>
        </w:tc>
        <w:tc>
          <w:tcPr>
            <w:tcW w:type="dxa" w:w="1361"/>
            <w:shd w:val="clear" w:fill="1F3A5F"/>
          </w:tcPr>
          <w:p>
            <w:pPr>
              <w:spacing w:after="40" w:before="40"/>
              <w:jc w:val="center"/>
            </w:pPr>
            <w:r/>
            <w:r>
              <w:rPr>
                <w:rFonts w:ascii="微软雅黑" w:hAnsi="微软雅黑" w:eastAsia="微软雅黑"/>
                <w:b/>
                <w:color w:val="FFFFFF"/>
                <w:sz w:val="19"/>
              </w:rPr>
              <w:t>2027E</w:t>
            </w:r>
          </w:p>
        </w:tc>
        <w:tc>
          <w:tcPr>
            <w:tcW w:type="dxa" w:w="1361"/>
            <w:shd w:val="clear" w:fill="1F3A5F"/>
          </w:tcPr>
          <w:p>
            <w:pPr>
              <w:spacing w:after="40" w:before="40"/>
              <w:jc w:val="center"/>
            </w:pPr>
            <w:r/>
            <w:r>
              <w:rPr>
                <w:rFonts w:ascii="微软雅黑" w:hAnsi="微软雅黑" w:eastAsia="微软雅黑"/>
                <w:b/>
                <w:color w:val="FFFFFF"/>
                <w:sz w:val="19"/>
              </w:rPr>
              <w:t>2028E</w:t>
            </w:r>
          </w:p>
        </w:tc>
        <w:tc>
          <w:tcPr>
            <w:tcW w:type="dxa" w:w="1474"/>
            <w:shd w:val="clear" w:fill="1F3A5F"/>
          </w:tcPr>
          <w:p>
            <w:pPr>
              <w:spacing w:after="40" w:before="40"/>
              <w:jc w:val="center"/>
            </w:pPr>
            <w:r/>
            <w:r>
              <w:rPr>
                <w:rFonts w:ascii="微软雅黑" w:hAnsi="微软雅黑" w:eastAsia="微软雅黑"/>
                <w:b/>
                <w:color w:val="FFFFFF"/>
                <w:sz w:val="19"/>
              </w:rPr>
              <w:t>26–28 CAGR</w:t>
            </w:r>
          </w:p>
        </w:tc>
      </w:tr>
      <w:tr>
        <w:tc>
          <w:tcPr>
            <w:tcW w:type="dxa" w:w="1474"/>
          </w:tcPr>
          <w:p>
            <w:pPr>
              <w:spacing w:after="40" w:before="40"/>
            </w:pPr>
            <w:r/>
            <w:r>
              <w:rPr>
                <w:rFonts w:ascii="宋体" w:hAnsi="宋体" w:eastAsia="宋体"/>
                <w:b w:val="0"/>
                <w:sz w:val="19"/>
              </w:rPr>
              <w:t>乐观</w:t>
            </w:r>
          </w:p>
        </w:tc>
        <w:tc>
          <w:tcPr>
            <w:tcW w:type="dxa" w:w="1361"/>
          </w:tcPr>
          <w:p>
            <w:pPr>
              <w:spacing w:after="40" w:before="40"/>
              <w:jc w:val="center"/>
            </w:pPr>
            <w:r/>
            <w:r>
              <w:rPr>
                <w:rFonts w:ascii="宋体" w:hAnsi="宋体" w:eastAsia="宋体"/>
                <w:b w:val="0"/>
                <w:sz w:val="19"/>
              </w:rPr>
              <w:t>7.84</w:t>
            </w:r>
          </w:p>
        </w:tc>
        <w:tc>
          <w:tcPr>
            <w:tcW w:type="dxa" w:w="1361"/>
          </w:tcPr>
          <w:p>
            <w:pPr>
              <w:spacing w:after="40" w:before="40"/>
              <w:jc w:val="center"/>
            </w:pPr>
            <w:r/>
            <w:r>
              <w:rPr>
                <w:rFonts w:ascii="宋体" w:hAnsi="宋体" w:eastAsia="宋体"/>
                <w:b w:val="0"/>
                <w:sz w:val="19"/>
              </w:rPr>
              <w:t>10.8</w:t>
            </w:r>
          </w:p>
        </w:tc>
        <w:tc>
          <w:tcPr>
            <w:tcW w:type="dxa" w:w="1361"/>
          </w:tcPr>
          <w:p>
            <w:pPr>
              <w:spacing w:after="40" w:before="40"/>
              <w:jc w:val="center"/>
            </w:pPr>
            <w:r/>
            <w:r>
              <w:rPr>
                <w:rFonts w:ascii="宋体" w:hAnsi="宋体" w:eastAsia="宋体"/>
                <w:b w:val="0"/>
                <w:sz w:val="19"/>
              </w:rPr>
              <w:t>15.2</w:t>
            </w:r>
          </w:p>
        </w:tc>
        <w:tc>
          <w:tcPr>
            <w:tcW w:type="dxa" w:w="1361"/>
          </w:tcPr>
          <w:p>
            <w:pPr>
              <w:spacing w:after="40" w:before="40"/>
              <w:jc w:val="center"/>
            </w:pPr>
            <w:r/>
            <w:r>
              <w:rPr>
                <w:rFonts w:ascii="宋体" w:hAnsi="宋体" w:eastAsia="宋体"/>
                <w:b w:val="0"/>
                <w:sz w:val="19"/>
              </w:rPr>
              <w:t>21.0</w:t>
            </w:r>
          </w:p>
        </w:tc>
        <w:tc>
          <w:tcPr>
            <w:tcW w:type="dxa" w:w="1474"/>
          </w:tcPr>
          <w:p>
            <w:pPr>
              <w:spacing w:after="40" w:before="40"/>
              <w:jc w:val="center"/>
            </w:pPr>
            <w:r/>
            <w:r>
              <w:rPr>
                <w:rFonts w:ascii="宋体" w:hAnsi="宋体" w:eastAsia="宋体"/>
                <w:b w:val="0"/>
                <w:sz w:val="19"/>
              </w:rPr>
              <w:t>≈39%</w:t>
            </w:r>
          </w:p>
        </w:tc>
      </w:tr>
      <w:tr>
        <w:tc>
          <w:tcPr>
            <w:tcW w:type="dxa" w:w="1474"/>
            <w:shd w:val="clear" w:fill="EEF3F8"/>
          </w:tcPr>
          <w:p>
            <w:pPr>
              <w:spacing w:after="40" w:before="40"/>
            </w:pPr>
            <w:r/>
            <w:r>
              <w:rPr>
                <w:rFonts w:ascii="宋体" w:hAnsi="宋体" w:eastAsia="宋体"/>
                <w:b w:val="0"/>
                <w:sz w:val="19"/>
              </w:rPr>
              <w:t>中性</w:t>
            </w:r>
          </w:p>
        </w:tc>
        <w:tc>
          <w:tcPr>
            <w:tcW w:type="dxa" w:w="1361"/>
            <w:shd w:val="clear" w:fill="EEF3F8"/>
          </w:tcPr>
          <w:p>
            <w:pPr>
              <w:spacing w:after="40" w:before="40"/>
              <w:jc w:val="center"/>
            </w:pPr>
            <w:r/>
            <w:r>
              <w:rPr>
                <w:rFonts w:ascii="宋体" w:hAnsi="宋体" w:eastAsia="宋体"/>
                <w:b w:val="0"/>
                <w:sz w:val="19"/>
              </w:rPr>
              <w:t>7.84</w:t>
            </w:r>
          </w:p>
        </w:tc>
        <w:tc>
          <w:tcPr>
            <w:tcW w:type="dxa" w:w="1361"/>
            <w:shd w:val="clear" w:fill="EEF3F8"/>
          </w:tcPr>
          <w:p>
            <w:pPr>
              <w:spacing w:after="40" w:before="40"/>
              <w:jc w:val="center"/>
            </w:pPr>
            <w:r/>
            <w:r>
              <w:rPr>
                <w:rFonts w:ascii="宋体" w:hAnsi="宋体" w:eastAsia="宋体"/>
                <w:b w:val="0"/>
                <w:sz w:val="19"/>
              </w:rPr>
              <w:t>9.8</w:t>
            </w:r>
          </w:p>
        </w:tc>
        <w:tc>
          <w:tcPr>
            <w:tcW w:type="dxa" w:w="1361"/>
            <w:shd w:val="clear" w:fill="EEF3F8"/>
          </w:tcPr>
          <w:p>
            <w:pPr>
              <w:spacing w:after="40" w:before="40"/>
              <w:jc w:val="center"/>
            </w:pPr>
            <w:r/>
            <w:r>
              <w:rPr>
                <w:rFonts w:ascii="宋体" w:hAnsi="宋体" w:eastAsia="宋体"/>
                <w:b w:val="0"/>
                <w:sz w:val="19"/>
              </w:rPr>
              <w:t>12.6</w:t>
            </w:r>
          </w:p>
        </w:tc>
        <w:tc>
          <w:tcPr>
            <w:tcW w:type="dxa" w:w="1361"/>
            <w:shd w:val="clear" w:fill="EEF3F8"/>
          </w:tcPr>
          <w:p>
            <w:pPr>
              <w:spacing w:after="40" w:before="40"/>
              <w:jc w:val="center"/>
            </w:pPr>
            <w:r/>
            <w:r>
              <w:rPr>
                <w:rFonts w:ascii="宋体" w:hAnsi="宋体" w:eastAsia="宋体"/>
                <w:b w:val="0"/>
                <w:sz w:val="19"/>
              </w:rPr>
              <w:t>16.0</w:t>
            </w:r>
          </w:p>
        </w:tc>
        <w:tc>
          <w:tcPr>
            <w:tcW w:type="dxa" w:w="1474"/>
            <w:shd w:val="clear" w:fill="EEF3F8"/>
          </w:tcPr>
          <w:p>
            <w:pPr>
              <w:spacing w:after="40" w:before="40"/>
              <w:jc w:val="center"/>
            </w:pPr>
            <w:r/>
            <w:r>
              <w:rPr>
                <w:rFonts w:ascii="宋体" w:hAnsi="宋体" w:eastAsia="宋体"/>
                <w:b w:val="0"/>
                <w:sz w:val="19"/>
              </w:rPr>
              <w:t>≈28%</w:t>
            </w:r>
          </w:p>
        </w:tc>
      </w:tr>
      <w:tr>
        <w:tc>
          <w:tcPr>
            <w:tcW w:type="dxa" w:w="1474"/>
          </w:tcPr>
          <w:p>
            <w:pPr>
              <w:spacing w:after="40" w:before="40"/>
            </w:pPr>
            <w:r/>
            <w:r>
              <w:rPr>
                <w:rFonts w:ascii="宋体" w:hAnsi="宋体" w:eastAsia="宋体"/>
                <w:b w:val="0"/>
                <w:sz w:val="19"/>
              </w:rPr>
              <w:t>悲观</w:t>
            </w:r>
          </w:p>
        </w:tc>
        <w:tc>
          <w:tcPr>
            <w:tcW w:type="dxa" w:w="1361"/>
          </w:tcPr>
          <w:p>
            <w:pPr>
              <w:spacing w:after="40" w:before="40"/>
              <w:jc w:val="center"/>
            </w:pPr>
            <w:r/>
            <w:r>
              <w:rPr>
                <w:rFonts w:ascii="宋体" w:hAnsi="宋体" w:eastAsia="宋体"/>
                <w:b w:val="0"/>
                <w:sz w:val="19"/>
              </w:rPr>
              <w:t>7.84</w:t>
            </w:r>
          </w:p>
        </w:tc>
        <w:tc>
          <w:tcPr>
            <w:tcW w:type="dxa" w:w="1361"/>
          </w:tcPr>
          <w:p>
            <w:pPr>
              <w:spacing w:after="40" w:before="40"/>
              <w:jc w:val="center"/>
            </w:pPr>
            <w:r/>
            <w:r>
              <w:rPr>
                <w:rFonts w:ascii="宋体" w:hAnsi="宋体" w:eastAsia="宋体"/>
                <w:b w:val="0"/>
                <w:sz w:val="19"/>
              </w:rPr>
              <w:t>8.6</w:t>
            </w:r>
          </w:p>
        </w:tc>
        <w:tc>
          <w:tcPr>
            <w:tcW w:type="dxa" w:w="1361"/>
          </w:tcPr>
          <w:p>
            <w:pPr>
              <w:spacing w:after="40" w:before="40"/>
              <w:jc w:val="center"/>
            </w:pPr>
            <w:r/>
            <w:r>
              <w:rPr>
                <w:rFonts w:ascii="宋体" w:hAnsi="宋体" w:eastAsia="宋体"/>
                <w:b w:val="0"/>
                <w:sz w:val="19"/>
              </w:rPr>
              <w:t>9.8</w:t>
            </w:r>
          </w:p>
        </w:tc>
        <w:tc>
          <w:tcPr>
            <w:tcW w:type="dxa" w:w="1361"/>
          </w:tcPr>
          <w:p>
            <w:pPr>
              <w:spacing w:after="40" w:before="40"/>
              <w:jc w:val="center"/>
            </w:pPr>
            <w:r/>
            <w:r>
              <w:rPr>
                <w:rFonts w:ascii="宋体" w:hAnsi="宋体" w:eastAsia="宋体"/>
                <w:b w:val="0"/>
                <w:sz w:val="19"/>
              </w:rPr>
              <w:t>11.2</w:t>
            </w:r>
          </w:p>
        </w:tc>
        <w:tc>
          <w:tcPr>
            <w:tcW w:type="dxa" w:w="1474"/>
          </w:tcPr>
          <w:p>
            <w:pPr>
              <w:spacing w:after="40" w:before="40"/>
              <w:jc w:val="center"/>
            </w:pPr>
            <w:r/>
            <w:r>
              <w:rPr>
                <w:rFonts w:ascii="宋体" w:hAnsi="宋体" w:eastAsia="宋体"/>
                <w:b w:val="0"/>
                <w:sz w:val="19"/>
              </w:rPr>
              <w:t>≈14%</w:t>
            </w:r>
          </w:p>
        </w:tc>
      </w:tr>
    </w:tbl>
    <w:p>
      <w:pPr>
        <w:spacing w:after="120"/>
        <w:ind w:firstLine="420"/>
      </w:pPr>
      <w:r>
        <w:rPr>
          <w:rFonts w:ascii="宋体" w:hAnsi="宋体" w:eastAsia="宋体"/>
          <w:b w:val="0"/>
          <w:i w:val="0"/>
          <w:sz w:val="21"/>
        </w:rPr>
        <w:t>对照：2026Q1 已实现净利 2.08 亿，若简单年化约 8.3 亿，故悲观情景（8.6 亿）已基本是"下限"，中性及以上情景隐含下半年新品放量贡献加速。</w:t>
      </w:r>
    </w:p>
    <w:p>
      <w:pPr>
        <w:spacing w:before="220" w:after="100"/>
      </w:pPr>
      <w:r>
        <w:rPr>
          <w:rFonts w:ascii="微软雅黑" w:hAnsi="微软雅黑" w:eastAsia="微软雅黑"/>
          <w:b/>
          <w:color w:val="2E6DA4"/>
          <w:sz w:val="24"/>
        </w:rPr>
        <w:t>4.2 估值测算</w:t>
      </w:r>
    </w:p>
    <w:p>
      <w:pPr>
        <w:spacing w:after="120"/>
        <w:ind w:firstLine="420"/>
      </w:pPr>
      <w:r>
        <w:rPr>
          <w:rFonts w:ascii="宋体" w:hAnsi="宋体" w:eastAsia="宋体"/>
          <w:b w:val="0"/>
          <w:i w:val="0"/>
          <w:sz w:val="21"/>
        </w:rPr>
        <w:t>估值锚点：公司总股本约 1.7 亿股（以最新披露为准，含 2025 年报 10 转 3 方案影响需还原）。2026 年市场给到的股价区间大致在 260–300 元，对应总市值约 440–510 亿元区间。半导体材料板块 2026 年整体 PE 约 37 倍，但高增速、强稀缺性龙头普遍享受显著溢价。下表以 2027E 净利为主锚、分别给定 PE 倍数测算目标市值。</w:t>
      </w:r>
    </w:p>
    <w:p>
      <w:pPr>
        <w:spacing w:before="120" w:after="60"/>
      </w:pPr>
      <w:r>
        <w:rPr>
          <w:rFonts w:ascii="微软雅黑" w:hAnsi="微软雅黑" w:eastAsia="微软雅黑"/>
          <w:b/>
          <w:i w:val="0"/>
          <w:color w:val="2E6DA4"/>
          <w:sz w:val="21"/>
        </w:rPr>
        <w:t>基于 2027E 归母净利的估值矩阵</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41"/>
            <w:shd w:val="clear" w:fill="1F3A5F"/>
          </w:tcPr>
          <w:p>
            <w:pPr>
              <w:spacing w:after="40" w:before="40"/>
              <w:jc w:val="center"/>
            </w:pPr>
            <w:r/>
            <w:r>
              <w:rPr>
                <w:rFonts w:ascii="微软雅黑" w:hAnsi="微软雅黑" w:eastAsia="微软雅黑"/>
                <w:b/>
                <w:color w:val="FFFFFF"/>
                <w:sz w:val="19"/>
              </w:rPr>
              <w:t>情景 / 给定PE</w:t>
            </w:r>
          </w:p>
        </w:tc>
        <w:tc>
          <w:tcPr>
            <w:tcW w:type="dxa" w:w="1701"/>
            <w:shd w:val="clear" w:fill="1F3A5F"/>
          </w:tcPr>
          <w:p>
            <w:pPr>
              <w:spacing w:after="40" w:before="40"/>
              <w:jc w:val="center"/>
            </w:pPr>
            <w:r/>
            <w:r>
              <w:rPr>
                <w:rFonts w:ascii="微软雅黑" w:hAnsi="微软雅黑" w:eastAsia="微软雅黑"/>
                <w:b/>
                <w:color w:val="FFFFFF"/>
                <w:sz w:val="19"/>
              </w:rPr>
              <w:t>2027E净利(亿)</w:t>
            </w:r>
          </w:p>
        </w:tc>
        <w:tc>
          <w:tcPr>
            <w:tcW w:type="dxa" w:w="1644"/>
            <w:shd w:val="clear" w:fill="1F3A5F"/>
          </w:tcPr>
          <w:p>
            <w:pPr>
              <w:spacing w:after="40" w:before="40"/>
              <w:jc w:val="center"/>
            </w:pPr>
            <w:r/>
            <w:r>
              <w:rPr>
                <w:rFonts w:ascii="微软雅黑" w:hAnsi="微软雅黑" w:eastAsia="微软雅黑"/>
                <w:b/>
                <w:color w:val="FFFFFF"/>
                <w:sz w:val="19"/>
              </w:rPr>
              <w:t>40x</w:t>
            </w:r>
          </w:p>
        </w:tc>
        <w:tc>
          <w:tcPr>
            <w:tcW w:type="dxa" w:w="1644"/>
            <w:shd w:val="clear" w:fill="1F3A5F"/>
          </w:tcPr>
          <w:p>
            <w:pPr>
              <w:spacing w:after="40" w:before="40"/>
              <w:jc w:val="center"/>
            </w:pPr>
            <w:r/>
            <w:r>
              <w:rPr>
                <w:rFonts w:ascii="微软雅黑" w:hAnsi="微软雅黑" w:eastAsia="微软雅黑"/>
                <w:b/>
                <w:color w:val="FFFFFF"/>
                <w:sz w:val="19"/>
              </w:rPr>
              <w:t>55x</w:t>
            </w:r>
          </w:p>
        </w:tc>
        <w:tc>
          <w:tcPr>
            <w:tcW w:type="dxa" w:w="1644"/>
            <w:shd w:val="clear" w:fill="1F3A5F"/>
          </w:tcPr>
          <w:p>
            <w:pPr>
              <w:spacing w:after="40" w:before="40"/>
              <w:jc w:val="center"/>
            </w:pPr>
            <w:r/>
            <w:r>
              <w:rPr>
                <w:rFonts w:ascii="微软雅黑" w:hAnsi="微软雅黑" w:eastAsia="微软雅黑"/>
                <w:b/>
                <w:color w:val="FFFFFF"/>
                <w:sz w:val="19"/>
              </w:rPr>
              <w:t>70x</w:t>
            </w:r>
          </w:p>
        </w:tc>
      </w:tr>
      <w:tr>
        <w:tc>
          <w:tcPr>
            <w:tcW w:type="dxa" w:w="2041"/>
          </w:tcPr>
          <w:p>
            <w:pPr>
              <w:spacing w:after="40" w:before="40"/>
            </w:pPr>
            <w:r/>
            <w:r>
              <w:rPr>
                <w:rFonts w:ascii="宋体" w:hAnsi="宋体" w:eastAsia="宋体"/>
                <w:b w:val="0"/>
                <w:sz w:val="19"/>
              </w:rPr>
              <w:t>乐观</w:t>
            </w:r>
          </w:p>
        </w:tc>
        <w:tc>
          <w:tcPr>
            <w:tcW w:type="dxa" w:w="1701"/>
          </w:tcPr>
          <w:p>
            <w:pPr>
              <w:spacing w:after="40" w:before="40"/>
              <w:jc w:val="center"/>
            </w:pPr>
            <w:r/>
            <w:r>
              <w:rPr>
                <w:rFonts w:ascii="宋体" w:hAnsi="宋体" w:eastAsia="宋体"/>
                <w:b w:val="0"/>
                <w:sz w:val="19"/>
              </w:rPr>
              <w:t>15.2</w:t>
            </w:r>
          </w:p>
        </w:tc>
        <w:tc>
          <w:tcPr>
            <w:tcW w:type="dxa" w:w="1644"/>
          </w:tcPr>
          <w:p>
            <w:pPr>
              <w:spacing w:after="40" w:before="40"/>
              <w:jc w:val="center"/>
            </w:pPr>
            <w:r/>
            <w:r>
              <w:rPr>
                <w:rFonts w:ascii="宋体" w:hAnsi="宋体" w:eastAsia="宋体"/>
                <w:b w:val="0"/>
                <w:sz w:val="19"/>
              </w:rPr>
              <w:t>608 亿</w:t>
            </w:r>
          </w:p>
        </w:tc>
        <w:tc>
          <w:tcPr>
            <w:tcW w:type="dxa" w:w="1644"/>
          </w:tcPr>
          <w:p>
            <w:pPr>
              <w:spacing w:after="40" w:before="40"/>
              <w:jc w:val="center"/>
            </w:pPr>
            <w:r/>
            <w:r>
              <w:rPr>
                <w:rFonts w:ascii="宋体" w:hAnsi="宋体" w:eastAsia="宋体"/>
                <w:b w:val="0"/>
                <w:sz w:val="19"/>
              </w:rPr>
              <w:t>836 亿</w:t>
            </w:r>
          </w:p>
        </w:tc>
        <w:tc>
          <w:tcPr>
            <w:tcW w:type="dxa" w:w="1644"/>
          </w:tcPr>
          <w:p>
            <w:pPr>
              <w:spacing w:after="40" w:before="40"/>
              <w:jc w:val="center"/>
            </w:pPr>
            <w:r/>
            <w:r>
              <w:rPr>
                <w:rFonts w:ascii="宋体" w:hAnsi="宋体" w:eastAsia="宋体"/>
                <w:b w:val="0"/>
                <w:sz w:val="19"/>
              </w:rPr>
              <w:t>1064 亿</w:t>
            </w:r>
          </w:p>
        </w:tc>
      </w:tr>
      <w:tr>
        <w:tc>
          <w:tcPr>
            <w:tcW w:type="dxa" w:w="2041"/>
            <w:shd w:val="clear" w:fill="EEF3F8"/>
          </w:tcPr>
          <w:p>
            <w:pPr>
              <w:spacing w:after="40" w:before="40"/>
            </w:pPr>
            <w:r/>
            <w:r>
              <w:rPr>
                <w:rFonts w:ascii="宋体" w:hAnsi="宋体" w:eastAsia="宋体"/>
                <w:b w:val="0"/>
                <w:sz w:val="19"/>
              </w:rPr>
              <w:t>中性</w:t>
            </w:r>
          </w:p>
        </w:tc>
        <w:tc>
          <w:tcPr>
            <w:tcW w:type="dxa" w:w="1701"/>
            <w:shd w:val="clear" w:fill="EEF3F8"/>
          </w:tcPr>
          <w:p>
            <w:pPr>
              <w:spacing w:after="40" w:before="40"/>
              <w:jc w:val="center"/>
            </w:pPr>
            <w:r/>
            <w:r>
              <w:rPr>
                <w:rFonts w:ascii="宋体" w:hAnsi="宋体" w:eastAsia="宋体"/>
                <w:b w:val="0"/>
                <w:sz w:val="19"/>
              </w:rPr>
              <w:t>12.6</w:t>
            </w:r>
          </w:p>
        </w:tc>
        <w:tc>
          <w:tcPr>
            <w:tcW w:type="dxa" w:w="1644"/>
            <w:shd w:val="clear" w:fill="EEF3F8"/>
          </w:tcPr>
          <w:p>
            <w:pPr>
              <w:spacing w:after="40" w:before="40"/>
              <w:jc w:val="center"/>
            </w:pPr>
            <w:r/>
            <w:r>
              <w:rPr>
                <w:rFonts w:ascii="宋体" w:hAnsi="宋体" w:eastAsia="宋体"/>
                <w:b w:val="0"/>
                <w:sz w:val="19"/>
              </w:rPr>
              <w:t>504 亿</w:t>
            </w:r>
          </w:p>
        </w:tc>
        <w:tc>
          <w:tcPr>
            <w:tcW w:type="dxa" w:w="1644"/>
            <w:shd w:val="clear" w:fill="EEF3F8"/>
          </w:tcPr>
          <w:p>
            <w:pPr>
              <w:spacing w:after="40" w:before="40"/>
              <w:jc w:val="center"/>
            </w:pPr>
            <w:r/>
            <w:r>
              <w:rPr>
                <w:rFonts w:ascii="宋体" w:hAnsi="宋体" w:eastAsia="宋体"/>
                <w:b w:val="0"/>
                <w:sz w:val="19"/>
              </w:rPr>
              <w:t>693 亿</w:t>
            </w:r>
          </w:p>
        </w:tc>
        <w:tc>
          <w:tcPr>
            <w:tcW w:type="dxa" w:w="1644"/>
            <w:shd w:val="clear" w:fill="EEF3F8"/>
          </w:tcPr>
          <w:p>
            <w:pPr>
              <w:spacing w:after="40" w:before="40"/>
              <w:jc w:val="center"/>
            </w:pPr>
            <w:r/>
            <w:r>
              <w:rPr>
                <w:rFonts w:ascii="宋体" w:hAnsi="宋体" w:eastAsia="宋体"/>
                <w:b w:val="0"/>
                <w:sz w:val="19"/>
              </w:rPr>
              <w:t>882 亿</w:t>
            </w:r>
          </w:p>
        </w:tc>
      </w:tr>
      <w:tr>
        <w:tc>
          <w:tcPr>
            <w:tcW w:type="dxa" w:w="2041"/>
          </w:tcPr>
          <w:p>
            <w:pPr>
              <w:spacing w:after="40" w:before="40"/>
            </w:pPr>
            <w:r/>
            <w:r>
              <w:rPr>
                <w:rFonts w:ascii="宋体" w:hAnsi="宋体" w:eastAsia="宋体"/>
                <w:b w:val="0"/>
                <w:sz w:val="19"/>
              </w:rPr>
              <w:t>悲观</w:t>
            </w:r>
          </w:p>
        </w:tc>
        <w:tc>
          <w:tcPr>
            <w:tcW w:type="dxa" w:w="1701"/>
          </w:tcPr>
          <w:p>
            <w:pPr>
              <w:spacing w:after="40" w:before="40"/>
              <w:jc w:val="center"/>
            </w:pPr>
            <w:r/>
            <w:r>
              <w:rPr>
                <w:rFonts w:ascii="宋体" w:hAnsi="宋体" w:eastAsia="宋体"/>
                <w:b w:val="0"/>
                <w:sz w:val="19"/>
              </w:rPr>
              <w:t>9.8</w:t>
            </w:r>
          </w:p>
        </w:tc>
        <w:tc>
          <w:tcPr>
            <w:tcW w:type="dxa" w:w="1644"/>
          </w:tcPr>
          <w:p>
            <w:pPr>
              <w:spacing w:after="40" w:before="40"/>
              <w:jc w:val="center"/>
            </w:pPr>
            <w:r/>
            <w:r>
              <w:rPr>
                <w:rFonts w:ascii="宋体" w:hAnsi="宋体" w:eastAsia="宋体"/>
                <w:b w:val="0"/>
                <w:sz w:val="19"/>
              </w:rPr>
              <w:t>392 亿</w:t>
            </w:r>
          </w:p>
        </w:tc>
        <w:tc>
          <w:tcPr>
            <w:tcW w:type="dxa" w:w="1644"/>
          </w:tcPr>
          <w:p>
            <w:pPr>
              <w:spacing w:after="40" w:before="40"/>
              <w:jc w:val="center"/>
            </w:pPr>
            <w:r/>
            <w:r>
              <w:rPr>
                <w:rFonts w:ascii="宋体" w:hAnsi="宋体" w:eastAsia="宋体"/>
                <w:b w:val="0"/>
                <w:sz w:val="19"/>
              </w:rPr>
              <w:t>539 亿</w:t>
            </w:r>
          </w:p>
        </w:tc>
        <w:tc>
          <w:tcPr>
            <w:tcW w:type="dxa" w:w="1644"/>
          </w:tcPr>
          <w:p>
            <w:pPr>
              <w:spacing w:after="40" w:before="40"/>
              <w:jc w:val="center"/>
            </w:pPr>
            <w:r/>
            <w:r>
              <w:rPr>
                <w:rFonts w:ascii="宋体" w:hAnsi="宋体" w:eastAsia="宋体"/>
                <w:b w:val="0"/>
                <w:sz w:val="19"/>
              </w:rPr>
              <w:t>686 亿</w:t>
            </w:r>
          </w:p>
        </w:tc>
      </w:tr>
    </w:tbl>
    <w:p>
      <w:pPr>
        <w:spacing w:after="120"/>
        <w:ind w:firstLine="420"/>
      </w:pPr>
      <w:r>
        <w:rPr>
          <w:rFonts w:ascii="宋体" w:hAnsi="宋体" w:eastAsia="宋体"/>
          <w:b w:val="0"/>
          <w:i w:val="0"/>
          <w:sz w:val="21"/>
        </w:rPr>
        <w:t>注：表中为目标总市值。除以总股本（约 1.7 亿股）可得每股目标价，例如中性情景 55x 对应市值约 693 亿、每股约 407 元；悲观情景 40x 对应约 392 亿、每股约 231 元。实际每股价需以最新总股本为准。</w:t>
      </w:r>
    </w:p>
    <w:p>
      <w:pPr>
        <w:spacing w:before="120" w:after="60"/>
      </w:pPr>
      <w:r>
        <w:rPr>
          <w:rFonts w:ascii="微软雅黑" w:hAnsi="微软雅黑" w:eastAsia="微软雅黑"/>
          <w:b/>
          <w:i w:val="0"/>
          <w:color w:val="1F3A5F"/>
          <w:sz w:val="21"/>
        </w:rPr>
        <w:t>情景化结论</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fill="1F3A5F"/>
          </w:tcPr>
          <w:p>
            <w:pPr>
              <w:spacing w:after="40" w:before="40"/>
              <w:jc w:val="center"/>
            </w:pPr>
            <w:r/>
            <w:r>
              <w:rPr>
                <w:rFonts w:ascii="微软雅黑" w:hAnsi="微软雅黑" w:eastAsia="微软雅黑"/>
                <w:b/>
                <w:color w:val="FFFFFF"/>
                <w:sz w:val="19"/>
              </w:rPr>
            </w:r>
          </w:p>
        </w:tc>
        <w:tc>
          <w:tcPr>
            <w:tcW w:type="dxa" w:w="2041"/>
            <w:shd w:val="clear" w:fill="1F3A5F"/>
          </w:tcPr>
          <w:p>
            <w:pPr>
              <w:spacing w:after="40" w:before="40"/>
              <w:jc w:val="center"/>
            </w:pPr>
            <w:r/>
            <w:r>
              <w:rPr>
                <w:rFonts w:ascii="微软雅黑" w:hAnsi="微软雅黑" w:eastAsia="微软雅黑"/>
                <w:b/>
                <w:color w:val="FFFFFF"/>
                <w:sz w:val="19"/>
              </w:rPr>
              <w:t>乐观情景</w:t>
            </w:r>
          </w:p>
        </w:tc>
        <w:tc>
          <w:tcPr>
            <w:tcW w:type="dxa" w:w="2041"/>
            <w:shd w:val="clear" w:fill="1F3A5F"/>
          </w:tcPr>
          <w:p>
            <w:pPr>
              <w:spacing w:after="40" w:before="40"/>
              <w:jc w:val="center"/>
            </w:pPr>
            <w:r/>
            <w:r>
              <w:rPr>
                <w:rFonts w:ascii="微软雅黑" w:hAnsi="微软雅黑" w:eastAsia="微软雅黑"/>
                <w:b/>
                <w:color w:val="FFFFFF"/>
                <w:sz w:val="19"/>
              </w:rPr>
              <w:t>中性情景</w:t>
            </w:r>
          </w:p>
        </w:tc>
        <w:tc>
          <w:tcPr>
            <w:tcW w:type="dxa" w:w="2041"/>
            <w:shd w:val="clear" w:fill="1F3A5F"/>
          </w:tcPr>
          <w:p>
            <w:pPr>
              <w:spacing w:after="40" w:before="40"/>
              <w:jc w:val="center"/>
            </w:pPr>
            <w:r/>
            <w:r>
              <w:rPr>
                <w:rFonts w:ascii="微软雅黑" w:hAnsi="微软雅黑" w:eastAsia="微软雅黑"/>
                <w:b/>
                <w:color w:val="FFFFFF"/>
                <w:sz w:val="19"/>
              </w:rPr>
              <w:t>悲观情景</w:t>
            </w:r>
          </w:p>
        </w:tc>
      </w:tr>
      <w:tr>
        <w:tc>
          <w:tcPr>
            <w:tcW w:type="dxa" w:w="1701"/>
          </w:tcPr>
          <w:p>
            <w:pPr>
              <w:spacing w:after="40" w:before="40"/>
            </w:pPr>
            <w:r/>
            <w:r>
              <w:rPr>
                <w:rFonts w:ascii="宋体" w:hAnsi="宋体" w:eastAsia="宋体"/>
                <w:b w:val="0"/>
                <w:sz w:val="19"/>
              </w:rPr>
              <w:t>2027E 净利</w:t>
            </w:r>
          </w:p>
        </w:tc>
        <w:tc>
          <w:tcPr>
            <w:tcW w:type="dxa" w:w="2041"/>
          </w:tcPr>
          <w:p>
            <w:pPr>
              <w:spacing w:after="40" w:before="40"/>
              <w:jc w:val="center"/>
            </w:pPr>
            <w:r/>
            <w:r>
              <w:rPr>
                <w:rFonts w:ascii="宋体" w:hAnsi="宋体" w:eastAsia="宋体"/>
                <w:b w:val="0"/>
                <w:sz w:val="19"/>
              </w:rPr>
              <w:t>15.2 亿</w:t>
            </w:r>
          </w:p>
        </w:tc>
        <w:tc>
          <w:tcPr>
            <w:tcW w:type="dxa" w:w="2041"/>
          </w:tcPr>
          <w:p>
            <w:pPr>
              <w:spacing w:after="40" w:before="40"/>
              <w:jc w:val="center"/>
            </w:pPr>
            <w:r/>
            <w:r>
              <w:rPr>
                <w:rFonts w:ascii="宋体" w:hAnsi="宋体" w:eastAsia="宋体"/>
                <w:b w:val="0"/>
                <w:sz w:val="19"/>
              </w:rPr>
              <w:t>12.6 亿</w:t>
            </w:r>
          </w:p>
        </w:tc>
        <w:tc>
          <w:tcPr>
            <w:tcW w:type="dxa" w:w="2041"/>
          </w:tcPr>
          <w:p>
            <w:pPr>
              <w:spacing w:after="40" w:before="40"/>
              <w:jc w:val="center"/>
            </w:pPr>
            <w:r/>
            <w:r>
              <w:rPr>
                <w:rFonts w:ascii="宋体" w:hAnsi="宋体" w:eastAsia="宋体"/>
                <w:b w:val="0"/>
                <w:sz w:val="19"/>
              </w:rPr>
              <w:t>9.8 亿</w:t>
            </w:r>
          </w:p>
        </w:tc>
      </w:tr>
      <w:tr>
        <w:tc>
          <w:tcPr>
            <w:tcW w:type="dxa" w:w="1701"/>
            <w:shd w:val="clear" w:fill="EEF3F8"/>
          </w:tcPr>
          <w:p>
            <w:pPr>
              <w:spacing w:after="40" w:before="40"/>
            </w:pPr>
            <w:r/>
            <w:r>
              <w:rPr>
                <w:rFonts w:ascii="宋体" w:hAnsi="宋体" w:eastAsia="宋体"/>
                <w:b w:val="0"/>
                <w:sz w:val="19"/>
              </w:rPr>
              <w:t>合理 PE</w:t>
            </w:r>
          </w:p>
        </w:tc>
        <w:tc>
          <w:tcPr>
            <w:tcW w:type="dxa" w:w="2041"/>
            <w:shd w:val="clear" w:fill="EEF3F8"/>
          </w:tcPr>
          <w:p>
            <w:pPr>
              <w:spacing w:after="40" w:before="40"/>
              <w:jc w:val="center"/>
            </w:pPr>
            <w:r/>
            <w:r>
              <w:rPr>
                <w:rFonts w:ascii="宋体" w:hAnsi="宋体" w:eastAsia="宋体"/>
                <w:b w:val="0"/>
                <w:sz w:val="19"/>
              </w:rPr>
              <w:t>60–70x</w:t>
            </w:r>
          </w:p>
        </w:tc>
        <w:tc>
          <w:tcPr>
            <w:tcW w:type="dxa" w:w="2041"/>
            <w:shd w:val="clear" w:fill="EEF3F8"/>
          </w:tcPr>
          <w:p>
            <w:pPr>
              <w:spacing w:after="40" w:before="40"/>
              <w:jc w:val="center"/>
            </w:pPr>
            <w:r/>
            <w:r>
              <w:rPr>
                <w:rFonts w:ascii="宋体" w:hAnsi="宋体" w:eastAsia="宋体"/>
                <w:b w:val="0"/>
                <w:sz w:val="19"/>
              </w:rPr>
              <w:t>45–55x</w:t>
            </w:r>
          </w:p>
        </w:tc>
        <w:tc>
          <w:tcPr>
            <w:tcW w:type="dxa" w:w="2041"/>
            <w:shd w:val="clear" w:fill="EEF3F8"/>
          </w:tcPr>
          <w:p>
            <w:pPr>
              <w:spacing w:after="40" w:before="40"/>
              <w:jc w:val="center"/>
            </w:pPr>
            <w:r/>
            <w:r>
              <w:rPr>
                <w:rFonts w:ascii="宋体" w:hAnsi="宋体" w:eastAsia="宋体"/>
                <w:b w:val="0"/>
                <w:sz w:val="19"/>
              </w:rPr>
              <w:t>35–40x</w:t>
            </w:r>
          </w:p>
        </w:tc>
      </w:tr>
      <w:tr>
        <w:tc>
          <w:tcPr>
            <w:tcW w:type="dxa" w:w="1701"/>
          </w:tcPr>
          <w:p>
            <w:pPr>
              <w:spacing w:after="40" w:before="40"/>
            </w:pPr>
            <w:r/>
            <w:r>
              <w:rPr>
                <w:rFonts w:ascii="宋体" w:hAnsi="宋体" w:eastAsia="宋体"/>
                <w:b w:val="0"/>
                <w:sz w:val="19"/>
              </w:rPr>
              <w:t>对应市值</w:t>
            </w:r>
          </w:p>
        </w:tc>
        <w:tc>
          <w:tcPr>
            <w:tcW w:type="dxa" w:w="2041"/>
          </w:tcPr>
          <w:p>
            <w:pPr>
              <w:spacing w:after="40" w:before="40"/>
              <w:jc w:val="center"/>
            </w:pPr>
            <w:r/>
            <w:r>
              <w:rPr>
                <w:rFonts w:ascii="宋体" w:hAnsi="宋体" w:eastAsia="宋体"/>
                <w:b w:val="0"/>
                <w:sz w:val="19"/>
              </w:rPr>
              <w:t>910–1064 亿</w:t>
            </w:r>
          </w:p>
        </w:tc>
        <w:tc>
          <w:tcPr>
            <w:tcW w:type="dxa" w:w="2041"/>
          </w:tcPr>
          <w:p>
            <w:pPr>
              <w:spacing w:after="40" w:before="40"/>
              <w:jc w:val="center"/>
            </w:pPr>
            <w:r/>
            <w:r>
              <w:rPr>
                <w:rFonts w:ascii="宋体" w:hAnsi="宋体" w:eastAsia="宋体"/>
                <w:b w:val="0"/>
                <w:sz w:val="19"/>
              </w:rPr>
              <w:t>567–693 亿</w:t>
            </w:r>
          </w:p>
        </w:tc>
        <w:tc>
          <w:tcPr>
            <w:tcW w:type="dxa" w:w="2041"/>
          </w:tcPr>
          <w:p>
            <w:pPr>
              <w:spacing w:after="40" w:before="40"/>
              <w:jc w:val="center"/>
            </w:pPr>
            <w:r/>
            <w:r>
              <w:rPr>
                <w:rFonts w:ascii="宋体" w:hAnsi="宋体" w:eastAsia="宋体"/>
                <w:b w:val="0"/>
                <w:sz w:val="19"/>
              </w:rPr>
              <w:t>343–392 亿</w:t>
            </w:r>
          </w:p>
        </w:tc>
      </w:tr>
      <w:tr>
        <w:tc>
          <w:tcPr>
            <w:tcW w:type="dxa" w:w="1701"/>
            <w:shd w:val="clear" w:fill="EEF3F8"/>
          </w:tcPr>
          <w:p>
            <w:pPr>
              <w:spacing w:after="40" w:before="40"/>
            </w:pPr>
            <w:r/>
            <w:r>
              <w:rPr>
                <w:rFonts w:ascii="宋体" w:hAnsi="宋体" w:eastAsia="宋体"/>
                <w:b w:val="0"/>
                <w:sz w:val="19"/>
              </w:rPr>
              <w:t>较当前(约470亿)</w:t>
            </w:r>
          </w:p>
        </w:tc>
        <w:tc>
          <w:tcPr>
            <w:tcW w:type="dxa" w:w="2041"/>
            <w:shd w:val="clear" w:fill="EEF3F8"/>
          </w:tcPr>
          <w:p>
            <w:pPr>
              <w:spacing w:after="40" w:before="40"/>
              <w:jc w:val="center"/>
            </w:pPr>
            <w:r/>
            <w:r>
              <w:rPr>
                <w:rFonts w:ascii="宋体" w:hAnsi="宋体" w:eastAsia="宋体"/>
                <w:b w:val="0"/>
                <w:sz w:val="19"/>
              </w:rPr>
              <w:t>大幅上行</w:t>
            </w:r>
          </w:p>
        </w:tc>
        <w:tc>
          <w:tcPr>
            <w:tcW w:type="dxa" w:w="2041"/>
            <w:shd w:val="clear" w:fill="EEF3F8"/>
          </w:tcPr>
          <w:p>
            <w:pPr>
              <w:spacing w:after="40" w:before="40"/>
              <w:jc w:val="center"/>
            </w:pPr>
            <w:r/>
            <w:r>
              <w:rPr>
                <w:rFonts w:ascii="宋体" w:hAnsi="宋体" w:eastAsia="宋体"/>
                <w:b w:val="0"/>
                <w:sz w:val="19"/>
              </w:rPr>
              <w:t>温和上行</w:t>
            </w:r>
          </w:p>
        </w:tc>
        <w:tc>
          <w:tcPr>
            <w:tcW w:type="dxa" w:w="2041"/>
            <w:shd w:val="clear" w:fill="EEF3F8"/>
          </w:tcPr>
          <w:p>
            <w:pPr>
              <w:spacing w:after="40" w:before="40"/>
              <w:jc w:val="center"/>
            </w:pPr>
            <w:r/>
            <w:r>
              <w:rPr>
                <w:rFonts w:ascii="宋体" w:hAnsi="宋体" w:eastAsia="宋体"/>
                <w:b w:val="0"/>
                <w:sz w:val="19"/>
              </w:rPr>
              <w:t>存在回撤风险</w:t>
            </w:r>
          </w:p>
        </w:tc>
      </w:tr>
    </w:tbl>
    <w:p>
      <w:pPr>
        <w:spacing w:after="120"/>
        <w:ind w:firstLine="420"/>
      </w:pPr>
      <w:r>
        <w:rPr>
          <w:rFonts w:ascii="宋体" w:hAnsi="宋体" w:eastAsia="宋体"/>
          <w:b w:val="0"/>
          <w:i w:val="0"/>
          <w:sz w:val="21"/>
        </w:rPr>
        <w:t>解读：当前约 470 亿市值已隐含"中性偏乐观"预期。若公司能兑现电镀液放量 + 市占率提升 + 毛利企稳的乐观路径，仍有可观上行空间；但若增速回落至悲观情景，当前估值缺乏安全边际，可能面临"业绩降速 + 估值下移"的双重压力。这是一只"高质量但不便宜"的成长股。</w:t>
      </w:r>
    </w:p>
    <w:p>
      <w:r>
        <w:br w:type="page"/>
      </w:r>
    </w:p>
    <w:p>
      <w:pPr>
        <w:spacing w:before="320" w:after="160"/>
        <w:pBdr>
          <w:bottom w:val="single" w:sz="6" w:space="4" w:color="1F3A5F"/>
        </w:pBdr>
      </w:pPr>
      <w:r>
        <w:rPr>
          <w:rFonts w:ascii="微软雅黑" w:hAnsi="微软雅黑" w:eastAsia="微软雅黑"/>
          <w:b/>
          <w:color w:val="1F3A5F"/>
          <w:sz w:val="30"/>
        </w:rPr>
        <w:t>05  风险提示与综合结论</w:t>
      </w:r>
    </w:p>
    <w:p>
      <w:pPr>
        <w:spacing w:before="220" w:after="100"/>
      </w:pPr>
      <w:r>
        <w:rPr>
          <w:rFonts w:ascii="微软雅黑" w:hAnsi="微软雅黑" w:eastAsia="微软雅黑"/>
          <w:b/>
          <w:color w:val="2E6DA4"/>
          <w:sz w:val="24"/>
        </w:rPr>
        <w:t>5.1 主要风险</w:t>
      </w:r>
    </w:p>
    <w:p>
      <w:pPr>
        <w:pStyle w:val="ListBullet"/>
        <w:spacing w:after="60"/>
      </w:pPr>
      <w:r>
        <w:rPr>
          <w:rFonts w:ascii="宋体" w:hAnsi="宋体" w:eastAsia="宋体"/>
          <w:b/>
          <w:color w:val="1F3A5F"/>
          <w:sz w:val="21"/>
        </w:rPr>
        <w:t>当前动态 PE 高于历史中枢与板块均值，对业绩兑现高度敏感，增速不及预期易引发杀估值。</w:t>
      </w:r>
      <w:r>
        <w:rPr>
          <w:rFonts w:ascii="宋体" w:hAnsi="宋体" w:eastAsia="宋体"/>
          <w:sz w:val="21"/>
        </w:rPr>
        <w:t>估值回撤风险：</w:t>
      </w:r>
    </w:p>
    <w:p>
      <w:pPr>
        <w:pStyle w:val="ListBullet"/>
        <w:spacing w:after="60"/>
      </w:pPr>
      <w:r>
        <w:rPr>
          <w:rFonts w:ascii="宋体" w:hAnsi="宋体" w:eastAsia="宋体"/>
          <w:b/>
          <w:color w:val="1F3A5F"/>
          <w:sz w:val="21"/>
        </w:rPr>
        <w:t>中芯国际等大客户绑定度高，单一客户资本开支或供应链调整影响显著。</w:t>
      </w:r>
      <w:r>
        <w:rPr>
          <w:rFonts w:ascii="宋体" w:hAnsi="宋体" w:eastAsia="宋体"/>
          <w:sz w:val="21"/>
        </w:rPr>
        <w:t>客户集中风险：</w:t>
      </w:r>
    </w:p>
    <w:p>
      <w:pPr>
        <w:pStyle w:val="ListBullet"/>
        <w:spacing w:after="60"/>
      </w:pPr>
      <w:r>
        <w:rPr>
          <w:rFonts w:ascii="宋体" w:hAnsi="宋体" w:eastAsia="宋体"/>
          <w:b/>
          <w:color w:val="1F3A5F"/>
          <w:sz w:val="21"/>
        </w:rPr>
        <w:t>2025 年毛利率同比降约 1.7pct；国产替代放量、原材料涨价、价格竞争均可能持续摊薄毛利。</w:t>
      </w:r>
      <w:r>
        <w:rPr>
          <w:rFonts w:ascii="宋体" w:hAnsi="宋体" w:eastAsia="宋体"/>
          <w:sz w:val="21"/>
        </w:rPr>
        <w:t>毛利率下行风险：</w:t>
      </w:r>
    </w:p>
    <w:p>
      <w:pPr>
        <w:pStyle w:val="ListBullet"/>
        <w:spacing w:after="60"/>
      </w:pPr>
      <w:r>
        <w:rPr>
          <w:rFonts w:ascii="宋体" w:hAnsi="宋体" w:eastAsia="宋体"/>
          <w:b/>
          <w:color w:val="1F3A5F"/>
          <w:sz w:val="21"/>
        </w:rPr>
        <w:t>最先进节点（5nm 及以下）成熟量产仍落后海外龙头，若先进制程导入受阻将削弱长期逻辑。</w:t>
      </w:r>
      <w:r>
        <w:rPr>
          <w:rFonts w:ascii="宋体" w:hAnsi="宋体" w:eastAsia="宋体"/>
          <w:sz w:val="21"/>
        </w:rPr>
        <w:t>技术追赶风险：</w:t>
      </w:r>
    </w:p>
    <w:p>
      <w:pPr>
        <w:pStyle w:val="ListBullet"/>
        <w:spacing w:after="60"/>
      </w:pPr>
      <w:r>
        <w:rPr>
          <w:rFonts w:ascii="宋体" w:hAnsi="宋体" w:eastAsia="宋体"/>
          <w:b/>
          <w:color w:val="1F3A5F"/>
          <w:sz w:val="21"/>
        </w:rPr>
        <w:t>应收账款体量较大，需跟踪回款与经营性现金流匹配度。</w:t>
      </w:r>
      <w:r>
        <w:rPr>
          <w:rFonts w:ascii="宋体" w:hAnsi="宋体" w:eastAsia="宋体"/>
          <w:sz w:val="21"/>
        </w:rPr>
        <w:t>现金流质量：</w:t>
      </w:r>
    </w:p>
    <w:p>
      <w:pPr>
        <w:pStyle w:val="ListBullet"/>
        <w:spacing w:after="60"/>
      </w:pPr>
      <w:r>
        <w:rPr>
          <w:rFonts w:ascii="宋体" w:hAnsi="宋体" w:eastAsia="宋体"/>
          <w:b/>
          <w:color w:val="1F3A5F"/>
          <w:sz w:val="21"/>
        </w:rPr>
        <w:t>半导体材料受出口管制、国产化政策节奏影响较大，存在双向不确定性。</w:t>
      </w:r>
      <w:r>
        <w:rPr>
          <w:rFonts w:ascii="宋体" w:hAnsi="宋体" w:eastAsia="宋体"/>
          <w:sz w:val="21"/>
        </w:rPr>
        <w:t>地缘与政策风险：</w:t>
      </w:r>
    </w:p>
    <w:p>
      <w:pPr>
        <w:spacing w:before="220" w:after="100"/>
      </w:pPr>
      <w:r>
        <w:rPr>
          <w:rFonts w:ascii="微软雅黑" w:hAnsi="微软雅黑" w:eastAsia="微软雅黑"/>
          <w:b/>
          <w:color w:val="2E6DA4"/>
          <w:sz w:val="24"/>
        </w:rPr>
        <w:t>5.2 综合结论</w:t>
      </w:r>
    </w:p>
    <w:p>
      <w:pPr>
        <w:spacing w:after="120"/>
        <w:ind w:firstLine="420"/>
      </w:pPr>
      <w:r>
        <w:rPr>
          <w:rFonts w:ascii="宋体" w:hAnsi="宋体" w:eastAsia="宋体"/>
          <w:b w:val="0"/>
          <w:i w:val="0"/>
          <w:sz w:val="21"/>
        </w:rPr>
        <w:t>安集科技是中国半导体材料国产替代浪潮中确定性与稀缺性都很突出的核心标的。基本面上，收入与利润连续高增长、利润增速快于收入，电镀液实现从 0 到 1 的国产突破，"3+1"平台型布局在 A 股极为稀缺；行业层面，2026 年半导体材料进入明确的涨价与利润修复周期，AI 驱动的扩产为耗材需求提供长周期支撑，安集大概率通过"产品结构升级 + 高毛利新品放量"实现综合单价与毛利的"等效上行"。</w:t>
      </w:r>
    </w:p>
    <w:p>
      <w:pPr>
        <w:spacing w:after="120"/>
        <w:ind w:firstLine="420"/>
      </w:pPr>
      <w:r>
        <w:rPr>
          <w:rFonts w:ascii="宋体" w:hAnsi="宋体" w:eastAsia="宋体"/>
          <w:b w:val="0"/>
          <w:i w:val="0"/>
          <w:sz w:val="21"/>
        </w:rPr>
        <w:t>但需清醒认识到，这些积极预期已较大程度反映在当前估值中。投资该标的的核心矛盾不是"公司好不好"（它确实优秀），而是"当前价格是否为优秀支付了过高溢价"。在乐观情景下仍有上行空间，在悲观情景下则缺乏安全边际。对于不同风险偏好的观察者，关键跟踪变量应是：电镀液与新品的放量速度、毛利率能否企稳回升、以及下游 Fab 的扩产与稼动率兑现情况。</w:t>
      </w:r>
    </w:p>
    <w:p>
      <w:r>
        <w:br w:type="page"/>
      </w:r>
    </w:p>
    <w:p>
      <w:pPr>
        <w:spacing w:before="320" w:after="160"/>
        <w:pBdr>
          <w:bottom w:val="single" w:sz="6" w:space="4" w:color="1F3A5F"/>
        </w:pBdr>
      </w:pPr>
      <w:r>
        <w:rPr>
          <w:rFonts w:ascii="微软雅黑" w:hAnsi="微软雅黑" w:eastAsia="微软雅黑"/>
          <w:b/>
          <w:color w:val="1F3A5F"/>
          <w:sz w:val="30"/>
        </w:rPr>
        <w:t>06  主要资料来源</w:t>
      </w:r>
    </w:p>
    <w:p>
      <w:pPr>
        <w:spacing w:after="120"/>
      </w:pPr>
      <w:r>
        <w:rPr>
          <w:rFonts w:ascii="宋体" w:hAnsi="宋体" w:eastAsia="宋体"/>
          <w:b w:val="0"/>
          <w:i w:val="0"/>
          <w:color w:val="555555"/>
          <w:sz w:val="19"/>
        </w:rPr>
        <w:t>本报告基于公开信息整理，关键来源如下（节选）：</w:t>
      </w:r>
    </w:p>
    <w:p>
      <w:pPr>
        <w:spacing w:after="60"/>
      </w:pPr>
      <w:r>
        <w:rPr>
          <w:rFonts w:ascii="宋体" w:hAnsi="宋体" w:eastAsia="宋体"/>
          <w:color w:val="1F3A5F"/>
          <w:sz w:val="18"/>
        </w:rPr>
        <w:t>[1] 安集科技 2025 年年度报告</w:t>
      </w:r>
    </w:p>
    <w:p>
      <w:pPr>
        <w:spacing w:after="100"/>
        <w:ind w:left="280"/>
      </w:pPr>
      <w:r>
        <w:rPr>
          <w:rFonts w:ascii="Times New Roman" w:hAnsi="Times New Roman"/>
          <w:color w:val="2E6DA4"/>
          <w:sz w:val="16"/>
        </w:rPr>
        <w:t>https://www.anjimicro.com/uploadfile/202604/13404c4f255355f.pdf</w:t>
      </w:r>
    </w:p>
    <w:p>
      <w:pPr>
        <w:spacing w:after="60"/>
      </w:pPr>
      <w:r>
        <w:rPr>
          <w:rFonts w:ascii="宋体" w:hAnsi="宋体" w:eastAsia="宋体"/>
          <w:color w:val="1F3A5F"/>
          <w:sz w:val="18"/>
        </w:rPr>
        <w:t>[2] 安集科技 2025 年报解读（营收25.04亿/净利7.84亿）</w:t>
      </w:r>
    </w:p>
    <w:p>
      <w:pPr>
        <w:spacing w:after="100"/>
        <w:ind w:left="280"/>
      </w:pPr>
      <w:r>
        <w:rPr>
          <w:rFonts w:ascii="Times New Roman" w:hAnsi="Times New Roman"/>
          <w:color w:val="2E6DA4"/>
          <w:sz w:val="16"/>
        </w:rPr>
        <w:t>https://finance.sina.com.cn/stock/hkstock/ggscyd/2026-04-15/doc-inhuqwst8297282.shtml</w:t>
      </w:r>
    </w:p>
    <w:p>
      <w:pPr>
        <w:spacing w:after="60"/>
      </w:pPr>
      <w:r>
        <w:rPr>
          <w:rFonts w:ascii="宋体" w:hAnsi="宋体" w:eastAsia="宋体"/>
          <w:color w:val="1F3A5F"/>
          <w:sz w:val="18"/>
        </w:rPr>
        <w:t>[3] 安集科技 2026 年一季报</w:t>
      </w:r>
    </w:p>
    <w:p>
      <w:pPr>
        <w:spacing w:after="100"/>
        <w:ind w:left="280"/>
      </w:pPr>
      <w:r>
        <w:rPr>
          <w:rFonts w:ascii="Times New Roman" w:hAnsi="Times New Roman"/>
          <w:color w:val="2E6DA4"/>
          <w:sz w:val="16"/>
        </w:rPr>
        <w:t>https://stockmc.xueqiu.com/202604/688019_20260429_F9ED.pdf</w:t>
      </w:r>
    </w:p>
    <w:p>
      <w:pPr>
        <w:spacing w:after="60"/>
      </w:pPr>
      <w:r>
        <w:rPr>
          <w:rFonts w:ascii="宋体" w:hAnsi="宋体" w:eastAsia="宋体"/>
          <w:color w:val="1F3A5F"/>
          <w:sz w:val="18"/>
        </w:rPr>
        <w:t>[4] 安集科技市占率提升至13% 机构调研</w:t>
      </w:r>
    </w:p>
    <w:p>
      <w:pPr>
        <w:spacing w:after="100"/>
        <w:ind w:left="280"/>
      </w:pPr>
      <w:r>
        <w:rPr>
          <w:rFonts w:ascii="Times New Roman" w:hAnsi="Times New Roman"/>
          <w:color w:val="2E6DA4"/>
          <w:sz w:val="16"/>
        </w:rPr>
        <w:t>https://stock.10jqka.com.cn/20260610/c677338415.shtml</w:t>
      </w:r>
    </w:p>
    <w:p>
      <w:pPr>
        <w:spacing w:after="60"/>
      </w:pPr>
      <w:r>
        <w:rPr>
          <w:rFonts w:ascii="宋体" w:hAnsi="宋体" w:eastAsia="宋体"/>
          <w:color w:val="1F3A5F"/>
          <w:sz w:val="18"/>
        </w:rPr>
        <w:t>[5] 安集科技大马士革铜电镀液量产销售</w:t>
      </w:r>
    </w:p>
    <w:p>
      <w:pPr>
        <w:spacing w:after="100"/>
        <w:ind w:left="280"/>
      </w:pPr>
      <w:r>
        <w:rPr>
          <w:rFonts w:ascii="Times New Roman" w:hAnsi="Times New Roman"/>
          <w:color w:val="2E6DA4"/>
          <w:sz w:val="16"/>
        </w:rPr>
        <w:t>https://finance.sina.com.cn/jjxw/2026-06-09/doc-iniauzkt5074717.shtml</w:t>
      </w:r>
    </w:p>
    <w:p>
      <w:pPr>
        <w:spacing w:after="60"/>
      </w:pPr>
      <w:r>
        <w:rPr>
          <w:rFonts w:ascii="宋体" w:hAnsi="宋体" w:eastAsia="宋体"/>
          <w:color w:val="1F3A5F"/>
          <w:sz w:val="18"/>
        </w:rPr>
        <w:t>[6] 东海证券 安集科技公司深度报告</w:t>
      </w:r>
    </w:p>
    <w:p>
      <w:pPr>
        <w:spacing w:after="100"/>
        <w:ind w:left="280"/>
      </w:pPr>
      <w:r>
        <w:rPr>
          <w:rFonts w:ascii="Times New Roman" w:hAnsi="Times New Roman"/>
          <w:color w:val="2E6DA4"/>
          <w:sz w:val="16"/>
        </w:rPr>
        <w:t>https://fxgroup.hibor.com.cn/data/1ef30455e5e36c83a7bb0521c657e91c.html</w:t>
      </w:r>
    </w:p>
    <w:p>
      <w:pPr>
        <w:spacing w:after="60"/>
      </w:pPr>
      <w:r>
        <w:rPr>
          <w:rFonts w:ascii="宋体" w:hAnsi="宋体" w:eastAsia="宋体"/>
          <w:color w:val="1F3A5F"/>
          <w:sz w:val="18"/>
        </w:rPr>
        <w:t>[7] 国金证券 CMP国产替代点评（目标价156.77元，2024）</w:t>
      </w:r>
    </w:p>
    <w:p>
      <w:pPr>
        <w:spacing w:after="100"/>
        <w:ind w:left="280"/>
      </w:pPr>
      <w:r>
        <w:rPr>
          <w:rFonts w:ascii="Times New Roman" w:hAnsi="Times New Roman"/>
          <w:color w:val="2E6DA4"/>
          <w:sz w:val="16"/>
        </w:rPr>
        <w:t>https://finance.sina.com.cn/stock/zqgd/2026-03-11/doc-inhqqqfs5694026.shtml</w:t>
      </w:r>
    </w:p>
    <w:p>
      <w:pPr>
        <w:spacing w:after="60"/>
      </w:pPr>
      <w:r>
        <w:rPr>
          <w:rFonts w:ascii="宋体" w:hAnsi="宋体" w:eastAsia="宋体"/>
          <w:color w:val="1F3A5F"/>
          <w:sz w:val="18"/>
        </w:rPr>
        <w:t>[8] Entegris 完成收购 CMC Materials</w:t>
      </w:r>
    </w:p>
    <w:p>
      <w:pPr>
        <w:spacing w:after="100"/>
        <w:ind w:left="280"/>
      </w:pPr>
      <w:r>
        <w:rPr>
          <w:rFonts w:ascii="Times New Roman" w:hAnsi="Times New Roman"/>
          <w:color w:val="2E6DA4"/>
          <w:sz w:val="16"/>
        </w:rPr>
        <w:t>https://www.businesswire.com/news/home/20220706005273/en/</w:t>
      </w:r>
    </w:p>
    <w:p>
      <w:pPr>
        <w:spacing w:after="60"/>
      </w:pPr>
      <w:r>
        <w:rPr>
          <w:rFonts w:ascii="宋体" w:hAnsi="宋体" w:eastAsia="宋体"/>
          <w:color w:val="1F3A5F"/>
          <w:sz w:val="18"/>
        </w:rPr>
        <w:t>[9] 六氟化钨年内暴涨232.7%</w:t>
      </w:r>
    </w:p>
    <w:p>
      <w:pPr>
        <w:spacing w:after="100"/>
        <w:ind w:left="280"/>
      </w:pPr>
      <w:r>
        <w:rPr>
          <w:rFonts w:ascii="Times New Roman" w:hAnsi="Times New Roman"/>
          <w:color w:val="2E6DA4"/>
          <w:sz w:val="16"/>
        </w:rPr>
        <w:t>https://news.chemnet.com/toutiao/detail-68860.html</w:t>
      </w:r>
    </w:p>
    <w:p>
      <w:pPr>
        <w:spacing w:after="60"/>
      </w:pPr>
      <w:r>
        <w:rPr>
          <w:rFonts w:ascii="宋体" w:hAnsi="宋体" w:eastAsia="宋体"/>
          <w:color w:val="1F3A5F"/>
          <w:sz w:val="18"/>
        </w:rPr>
        <w:t>[10] 2026硅片涨价大年（长协到期）</w:t>
      </w:r>
    </w:p>
    <w:p>
      <w:pPr>
        <w:spacing w:after="100"/>
        <w:ind w:left="280"/>
      </w:pPr>
      <w:r>
        <w:rPr>
          <w:rFonts w:ascii="Times New Roman" w:hAnsi="Times New Roman"/>
          <w:color w:val="2E6DA4"/>
          <w:sz w:val="16"/>
        </w:rPr>
        <w:t>https://36kr.com/p/3869826792281349</w:t>
      </w:r>
    </w:p>
    <w:p>
      <w:pPr>
        <w:spacing w:after="60"/>
      </w:pPr>
      <w:r>
        <w:rPr>
          <w:rFonts w:ascii="宋体" w:hAnsi="宋体" w:eastAsia="宋体"/>
          <w:color w:val="1F3A5F"/>
          <w:sz w:val="18"/>
        </w:rPr>
        <w:t>[11] SEMI 300mm设备支出双位数增长预测</w:t>
      </w:r>
    </w:p>
    <w:p>
      <w:pPr>
        <w:spacing w:after="100"/>
        <w:ind w:left="280"/>
      </w:pPr>
      <w:r>
        <w:rPr>
          <w:rFonts w:ascii="Times New Roman" w:hAnsi="Times New Roman"/>
          <w:color w:val="2E6DA4"/>
          <w:sz w:val="16"/>
        </w:rPr>
        <w:t>https://www.prnewswire.co.uk/news-releases/semi-projects-double-digit-growth-in-global-300mm-fab-equipment-spending-for-2026-and-2027-302730481.html</w:t>
      </w:r>
    </w:p>
    <w:p>
      <w:pPr>
        <w:spacing w:after="60"/>
      </w:pPr>
      <w:r>
        <w:rPr>
          <w:rFonts w:ascii="宋体" w:hAnsi="宋体" w:eastAsia="宋体"/>
          <w:color w:val="1F3A5F"/>
          <w:sz w:val="18"/>
        </w:rPr>
        <w:t>[12] 台积电2026资本开支约560亿美元</w:t>
      </w:r>
    </w:p>
    <w:p>
      <w:pPr>
        <w:spacing w:after="100"/>
        <w:ind w:left="280"/>
      </w:pPr>
      <w:r>
        <w:rPr>
          <w:rFonts w:ascii="Times New Roman" w:hAnsi="Times New Roman"/>
          <w:color w:val="2E6DA4"/>
          <w:sz w:val="16"/>
        </w:rPr>
        <w:t>https://money.udn.com/money/story/5612/9446058</w:t>
      </w:r>
    </w:p>
    <w:p>
      <w:pPr>
        <w:spacing w:after="60"/>
      </w:pPr>
      <w:r>
        <w:rPr>
          <w:rFonts w:ascii="宋体" w:hAnsi="宋体" w:eastAsia="宋体"/>
          <w:color w:val="1F3A5F"/>
          <w:sz w:val="18"/>
        </w:rPr>
        <w:t>[13] 长江存储史诗级扩产</w:t>
      </w:r>
    </w:p>
    <w:p>
      <w:pPr>
        <w:spacing w:after="100"/>
        <w:ind w:left="280"/>
      </w:pPr>
      <w:r>
        <w:rPr>
          <w:rFonts w:ascii="Times New Roman" w:hAnsi="Times New Roman"/>
          <w:color w:val="2E6DA4"/>
          <w:sz w:val="16"/>
        </w:rPr>
        <w:t>https://www.21jingji.com/article/20260417/herald/5f302c628341b4446e5de83a50c8e3ce.html</w:t>
      </w:r>
    </w:p>
    <w:p>
      <w:pPr>
        <w:spacing w:after="60"/>
      </w:pPr>
      <w:r>
        <w:rPr>
          <w:rFonts w:ascii="宋体" w:hAnsi="宋体" w:eastAsia="宋体"/>
          <w:color w:val="1F3A5F"/>
          <w:sz w:val="18"/>
        </w:rPr>
        <w:t>[14] 鼎龙股份 2025 年报（营收36.6亿）</w:t>
      </w:r>
    </w:p>
    <w:p>
      <w:pPr>
        <w:spacing w:after="100"/>
        <w:ind w:left="280"/>
      </w:pPr>
      <w:r>
        <w:rPr>
          <w:rFonts w:ascii="Times New Roman" w:hAnsi="Times New Roman"/>
          <w:color w:val="2E6DA4"/>
          <w:sz w:val="16"/>
        </w:rPr>
        <w:t>https://finance.sina.com.cn/stock/relnews/cn/2026-03-27/doc-inhsmtiq5214850.shtml</w:t>
      </w:r>
    </w:p>
    <w:p>
      <w:pPr>
        <w:spacing w:after="60"/>
      </w:pPr>
      <w:r>
        <w:rPr>
          <w:rFonts w:ascii="宋体" w:hAnsi="宋体" w:eastAsia="宋体"/>
          <w:color w:val="1F3A5F"/>
          <w:sz w:val="18"/>
        </w:rPr>
        <w:t>[15] 华特气体 2025 年度业绩</w:t>
      </w:r>
    </w:p>
    <w:p>
      <w:pPr>
        <w:spacing w:after="100"/>
        <w:ind w:left="280"/>
      </w:pPr>
      <w:r>
        <w:rPr>
          <w:rFonts w:ascii="Times New Roman" w:hAnsi="Times New Roman"/>
          <w:color w:val="2E6DA4"/>
          <w:sz w:val="16"/>
        </w:rPr>
        <w:t>https://news.qq.com/rain/a/20260409A07IWA00</w:t>
      </w:r>
    </w:p>
    <w:p>
      <w:pPr>
        <w:spacing w:after="60"/>
      </w:pPr>
      <w:r>
        <w:rPr>
          <w:rFonts w:ascii="宋体" w:hAnsi="宋体" w:eastAsia="宋体"/>
          <w:color w:val="1F3A5F"/>
          <w:sz w:val="18"/>
        </w:rPr>
        <w:t>[16] 东北证券 湿电子化学品行业深度报告</w:t>
      </w:r>
    </w:p>
    <w:p>
      <w:pPr>
        <w:spacing w:after="100"/>
        <w:ind w:left="280"/>
      </w:pPr>
      <w:r>
        <w:rPr>
          <w:rFonts w:ascii="Times New Roman" w:hAnsi="Times New Roman"/>
          <w:color w:val="2E6DA4"/>
          <w:sz w:val="16"/>
        </w:rPr>
        <w:t>http://www.hibor.com.cn/repinfodetail_5127801.html</w:t>
      </w:r>
    </w:p>
    <w:p>
      <w:pPr>
        <w:spacing w:after="60"/>
      </w:pPr>
      <w:r>
        <w:rPr>
          <w:rFonts w:ascii="宋体" w:hAnsi="宋体" w:eastAsia="宋体"/>
          <w:color w:val="1F3A5F"/>
          <w:sz w:val="18"/>
        </w:rPr>
        <w:t>[17] 半导体材料板块估值（小牛行研）</w:t>
      </w:r>
    </w:p>
    <w:p>
      <w:pPr>
        <w:spacing w:after="100"/>
        <w:ind w:left="280"/>
      </w:pPr>
      <w:r>
        <w:rPr>
          <w:rFonts w:ascii="Times New Roman" w:hAnsi="Times New Roman"/>
          <w:color w:val="2E6DA4"/>
          <w:sz w:val="16"/>
        </w:rPr>
        <w:t>https://www.hangyan.co/charts/3896064918549431593</w:t>
      </w:r>
    </w:p>
    <w:p>
      <w:pPr>
        <w:spacing w:after="200"/>
      </w:pPr>
    </w:p>
    <w:p>
      <w:pPr>
        <w:spacing w:after="80"/>
        <w:jc w:val="center"/>
      </w:pPr>
      <w:r>
        <w:rPr>
          <w:rFonts w:ascii="宋体" w:hAnsi="宋体" w:eastAsia="宋体"/>
          <w:b w:val="0"/>
          <w:i w:val="0"/>
          <w:color w:val="7A7A7A"/>
          <w:sz w:val="20"/>
        </w:rPr>
        <w:t>— 报告结束 —</w:t>
      </w:r>
    </w:p>
    <w:p>
      <w:pPr>
        <w:spacing w:before="120" w:after="80"/>
        <w:jc w:val="center"/>
      </w:pPr>
      <w:r>
        <w:rPr>
          <w:rFonts w:ascii="宋体" w:hAnsi="宋体" w:eastAsia="宋体"/>
          <w:b w:val="0"/>
          <w:i w:val="0"/>
          <w:color w:val="7A7A7A"/>
          <w:sz w:val="16"/>
        </w:rPr>
        <w:t>免责声明：本报告由 AI 基于公开资料整理生成，所有盈利预测与估值均为基于假设的分析推演，可能存在数据滞后或误差，不构成任何投资建议或买卖要约。投资有风险，决策需谨慎。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