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b w:val="1"/>
        </w:rPr>
      </w:pPr>
      <w:bookmarkStart w:colFirst="0" w:colLast="0" w:name="_uuowvqkcahq8" w:id="0"/>
      <w:bookmarkEnd w:id="0"/>
      <w:r w:rsidDel="00000000" w:rsidR="00000000" w:rsidRPr="00000000">
        <w:rPr>
          <w:b w:val="1"/>
          <w:rtl w:val="0"/>
        </w:rPr>
        <w:t xml:space="preserve">Q1 2020 Performance Reviews</w:t>
      </w:r>
    </w:p>
    <w:p w:rsidR="00000000" w:rsidDel="00000000" w:rsidP="00000000" w:rsidRDefault="00000000" w:rsidRPr="00000000" w14:paraId="00000002">
      <w:pPr>
        <w:pStyle w:val="Heading1"/>
        <w:rPr>
          <w:b w:val="1"/>
        </w:rPr>
      </w:pPr>
      <w:bookmarkStart w:colFirst="0" w:colLast="0" w:name="_q1ppgfulkxtg" w:id="1"/>
      <w:bookmarkEnd w:id="1"/>
      <w:r w:rsidDel="00000000" w:rsidR="00000000" w:rsidRPr="00000000">
        <w:rPr>
          <w:b w:val="1"/>
          <w:rtl w:val="0"/>
        </w:rPr>
        <w:t xml:space="preserve">Executive Summary</w:t>
      </w:r>
    </w:p>
    <w:p w:rsidR="00000000" w:rsidDel="00000000" w:rsidP="00000000" w:rsidRDefault="00000000" w:rsidRPr="00000000" w14:paraId="00000003">
      <w:pPr>
        <w:pStyle w:val="Heading2"/>
        <w:rPr/>
      </w:pPr>
      <w:bookmarkStart w:colFirst="0" w:colLast="0" w:name="_jn5209j6oefm" w:id="2"/>
      <w:bookmarkEnd w:id="2"/>
      <w:r w:rsidDel="00000000" w:rsidR="00000000" w:rsidRPr="00000000">
        <w:rPr>
          <w:rtl w:val="0"/>
        </w:rPr>
        <w:t xml:space="preserve">Rubric Assessment</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00.0" w:type="dxa"/>
              <w:left w:w="100.0" w:type="dxa"/>
              <w:bottom w:w="100.0" w:type="dxa"/>
              <w:right w:w="100.0" w:type="dxa"/>
            </w:tcMar>
            <w:vAlign w:val="top"/>
          </w:tcPr>
          <w:p w:rsidR="00000000" w:rsidDel="00000000" w:rsidP="00000000" w:rsidRDefault="00000000" w:rsidRPr="00000000" w14:paraId="00000004">
            <w:pPr>
              <w:pStyle w:val="Heading2"/>
              <w:rPr/>
            </w:pPr>
            <w:bookmarkStart w:colFirst="0" w:colLast="0" w:name="_1w6f14ki36cu" w:id="3"/>
            <w:bookmarkEnd w:id="3"/>
            <w:r w:rsidDel="00000000" w:rsidR="00000000" w:rsidRPr="00000000">
              <w:rPr>
                <w:sz w:val="22"/>
                <w:szCs w:val="22"/>
                <w:rtl w:val="0"/>
              </w:rPr>
              <w:t xml:space="preserve">            The radar chart below shows the scores of the </w:t>
            </w:r>
            <w:hyperlink r:id="rId6">
              <w:r w:rsidDel="00000000" w:rsidR="00000000" w:rsidRPr="00000000">
                <w:rPr>
                  <w:sz w:val="22"/>
                  <w:szCs w:val="22"/>
                  <w:u w:val="single"/>
                  <w:rtl w:val="0"/>
                </w:rPr>
                <w:t xml:space="preserve">rubric assessment</w:t>
              </w:r>
            </w:hyperlink>
            <w:r w:rsidDel="00000000" w:rsidR="00000000" w:rsidRPr="00000000">
              <w:rPr>
                <w:sz w:val="22"/>
                <w:szCs w:val="22"/>
                <w:rtl w:val="0"/>
              </w:rPr>
              <w:t xml:space="preserve"> for each engineer. I do not share the actual scores with the engineers. I have done this previously and it does not allow the engineers to focus on the feedback. It is valuable for assessing the team along with providing more quantitative individual reviews if someone is struggling or excelling in individual areas.</w:t>
            </w:r>
            <w:r w:rsidDel="00000000" w:rsidR="00000000" w:rsidRPr="00000000">
              <w:rPr>
                <w:rtl w:val="0"/>
              </w:rPr>
            </w:r>
          </w:p>
        </w:tc>
      </w:tr>
    </w:tbl>
    <w:p w:rsidR="00000000" w:rsidDel="00000000" w:rsidP="00000000" w:rsidRDefault="00000000" w:rsidRPr="00000000" w14:paraId="00000005">
      <w:pPr>
        <w:pStyle w:val="Heading2"/>
        <w:ind w:firstLine="720"/>
        <w:rPr>
          <w:sz w:val="22"/>
          <w:szCs w:val="22"/>
        </w:rPr>
      </w:pPr>
      <w:bookmarkStart w:colFirst="0" w:colLast="0" w:name="_bh8dops0ykv5" w:id="4"/>
      <w:bookmarkEnd w:id="4"/>
      <w:r w:rsidDel="00000000" w:rsidR="00000000" w:rsidRPr="00000000">
        <w:rPr>
          <w:sz w:val="22"/>
          <w:szCs w:val="22"/>
        </w:rPr>
        <w:drawing>
          <wp:inline distB="114300" distT="114300" distL="114300" distR="114300">
            <wp:extent cx="5916283" cy="3919538"/>
            <wp:effectExtent b="0" l="0" r="0" t="0"/>
            <wp:docPr descr="Chart" id="1"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5916283" cy="39195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2"/>
        <w:ind w:firstLine="720"/>
        <w:rPr/>
      </w:pPr>
      <w:bookmarkStart w:colFirst="0" w:colLast="0" w:name="_cetatpuhq8di" w:id="5"/>
      <w:bookmarkEnd w:id="5"/>
      <w:r w:rsidDel="00000000" w:rsidR="00000000" w:rsidRPr="00000000">
        <w:rPr>
          <w:sz w:val="22"/>
          <w:szCs w:val="22"/>
          <w:rtl w:val="0"/>
        </w:rPr>
        <w:t xml:space="preserve">The team generally excels in judgment with an average score of 3.62, but falls short in communication with an average of just 3.2. Interestingly, there is not much of a disparity between engineering levels and any one area. The biggest discrepancy between levels is within the judgment category. Communication seems to have no discrepancy between engineering levels.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m6lgblr1afxa" w:id="6"/>
      <w:bookmarkEnd w:id="6"/>
      <w:r w:rsidDel="00000000" w:rsidR="00000000" w:rsidRPr="00000000">
        <w:rPr>
          <w:rtl w:val="0"/>
        </w:rPr>
        <w:t xml:space="preserve">Engineering Levels</w:t>
      </w:r>
    </w:p>
    <w:tbl>
      <w:tblPr>
        <w:tblStyle w:val="Table2"/>
        <w:tblW w:w="10800.0" w:type="dxa"/>
        <w:jc w:val="left"/>
        <w:tblInd w:w="288.0" w:type="pct"/>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8.0" w:type="dxa"/>
              <w:left w:w="288.0" w:type="dxa"/>
              <w:bottom w:w="288.0" w:type="dxa"/>
              <w:right w:w="288.0" w:type="dxa"/>
            </w:tcMar>
            <w:vAlign w:val="top"/>
          </w:tcPr>
          <w:p w:rsidR="00000000" w:rsidDel="00000000" w:rsidP="00000000" w:rsidRDefault="00000000" w:rsidRPr="00000000" w14:paraId="00000009">
            <w:pPr>
              <w:pStyle w:val="Heading2"/>
              <w:rPr/>
            </w:pPr>
            <w:bookmarkStart w:colFirst="0" w:colLast="0" w:name="_td3in11865x" w:id="7"/>
            <w:bookmarkEnd w:id="7"/>
            <w:r w:rsidDel="00000000" w:rsidR="00000000" w:rsidRPr="00000000">
              <w:rPr>
                <w:sz w:val="22"/>
                <w:szCs w:val="22"/>
                <w:rtl w:val="0"/>
              </w:rPr>
              <w:t xml:space="preserve">            The left table shows what the expected rubric results should be for each position. On the right you will see the assessment for each engineer. This provides a consistent and reliable process for reviewing individuals within the team for promotions or for formal review.</w:t>
            </w:r>
            <w:r w:rsidDel="00000000" w:rsidR="00000000" w:rsidRPr="00000000">
              <w:rPr>
                <w:rtl w:val="0"/>
              </w:rPr>
            </w:r>
          </w:p>
        </w:tc>
      </w:tr>
    </w:tbl>
    <w:p w:rsidR="00000000" w:rsidDel="00000000" w:rsidP="00000000" w:rsidRDefault="00000000" w:rsidRPr="00000000" w14:paraId="0000000A">
      <w:pPr>
        <w:pStyle w:val="Heading2"/>
        <w:rPr>
          <w:sz w:val="2"/>
          <w:szCs w:val="2"/>
        </w:rPr>
      </w:pPr>
      <w:bookmarkStart w:colFirst="0" w:colLast="0" w:name="_qxyic86i0lyo" w:id="8"/>
      <w:bookmarkEnd w:id="8"/>
      <w:r w:rsidDel="00000000" w:rsidR="00000000" w:rsidRPr="00000000">
        <w:rPr>
          <w:rtl w:val="0"/>
        </w:rPr>
      </w:r>
    </w:p>
    <w:tbl>
      <w:tblPr>
        <w:tblStyle w:val="Table3"/>
        <w:tblW w:w="10800.0" w:type="dxa"/>
        <w:jc w:val="left"/>
        <w:tblInd w:w="0.0" w:type="pct"/>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B">
            <w:pPr>
              <w:rPr/>
            </w:pPr>
            <w:r w:rsidDel="00000000" w:rsidR="00000000" w:rsidRPr="00000000">
              <w:rPr>
                <w:rtl w:val="0"/>
              </w:rPr>
            </w:r>
          </w:p>
          <w:tbl>
            <w:tblPr>
              <w:tblStyle w:val="Table4"/>
              <w:tblW w:w="4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900"/>
              <w:gridCol w:w="1140"/>
              <w:tblGridChange w:id="0">
                <w:tblGrid>
                  <w:gridCol w:w="2445"/>
                  <w:gridCol w:w="900"/>
                  <w:gridCol w:w="1140"/>
                </w:tblGrid>
              </w:tblGridChange>
            </w:tblGrid>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0C">
                  <w:pPr>
                    <w:widowControl w:val="0"/>
                    <w:rPr>
                      <w:color w:val="ffffff"/>
                      <w:sz w:val="20"/>
                      <w:szCs w:val="20"/>
                    </w:rPr>
                  </w:pPr>
                  <w:r w:rsidDel="00000000" w:rsidR="00000000" w:rsidRPr="00000000">
                    <w:rPr>
                      <w:b w:val="1"/>
                      <w:color w:val="ffffff"/>
                      <w:sz w:val="20"/>
                      <w:szCs w:val="20"/>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0D">
                  <w:pPr>
                    <w:widowControl w:val="0"/>
                    <w:rPr>
                      <w:color w:val="ffffff"/>
                      <w:sz w:val="20"/>
                      <w:szCs w:val="20"/>
                    </w:rPr>
                  </w:pPr>
                  <w:r w:rsidDel="00000000" w:rsidR="00000000" w:rsidRPr="00000000">
                    <w:rPr>
                      <w:b w:val="1"/>
                      <w:color w:val="ffffff"/>
                      <w:sz w:val="20"/>
                      <w:szCs w:val="20"/>
                      <w:rtl w:val="0"/>
                    </w:rPr>
                    <w:t xml:space="preserve">Min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0E">
                  <w:pPr>
                    <w:widowControl w:val="0"/>
                    <w:rPr>
                      <w:color w:val="ffffff"/>
                      <w:sz w:val="20"/>
                      <w:szCs w:val="20"/>
                    </w:rPr>
                  </w:pPr>
                  <w:r w:rsidDel="00000000" w:rsidR="00000000" w:rsidRPr="00000000">
                    <w:rPr>
                      <w:b w:val="1"/>
                      <w:color w:val="ffffff"/>
                      <w:sz w:val="20"/>
                      <w:szCs w:val="20"/>
                      <w:rtl w:val="0"/>
                    </w:rPr>
                    <w:t xml:space="preserve">Max</w:t>
                  </w:r>
                  <w:r w:rsidDel="00000000" w:rsidR="00000000" w:rsidRPr="00000000">
                    <w:rPr>
                      <w:rtl w:val="0"/>
                    </w:rPr>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Intern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2.25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2.75</w:t>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Engineer 1</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2.75</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3.25</w:t>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Engineer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6">
                  <w:pPr>
                    <w:widowControl w:val="0"/>
                    <w:jc w:val="right"/>
                    <w:rPr>
                      <w:sz w:val="20"/>
                      <w:szCs w:val="20"/>
                    </w:rPr>
                  </w:pPr>
                  <w:r w:rsidDel="00000000" w:rsidR="00000000" w:rsidRPr="00000000">
                    <w:rPr>
                      <w:sz w:val="20"/>
                      <w:szCs w:val="20"/>
                      <w:rtl w:val="0"/>
                    </w:rPr>
                    <w:t xml:space="preserve">3.25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7">
                  <w:pPr>
                    <w:widowControl w:val="0"/>
                    <w:jc w:val="right"/>
                    <w:rPr>
                      <w:sz w:val="20"/>
                      <w:szCs w:val="20"/>
                    </w:rPr>
                  </w:pPr>
                  <w:r w:rsidDel="00000000" w:rsidR="00000000" w:rsidRPr="00000000">
                    <w:rPr>
                      <w:sz w:val="20"/>
                      <w:szCs w:val="20"/>
                      <w:rtl w:val="0"/>
                    </w:rPr>
                    <w:t xml:space="preserve">3.75</w:t>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Engineer 3</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sz w:val="20"/>
                      <w:szCs w:val="20"/>
                    </w:rPr>
                  </w:pPr>
                  <w:r w:rsidDel="00000000" w:rsidR="00000000" w:rsidRPr="00000000">
                    <w:rPr>
                      <w:sz w:val="20"/>
                      <w:szCs w:val="20"/>
                      <w:rtl w:val="0"/>
                    </w:rPr>
                    <w:t xml:space="preserve">3.75</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A">
                  <w:pPr>
                    <w:widowControl w:val="0"/>
                    <w:jc w:val="right"/>
                    <w:rPr>
                      <w:sz w:val="20"/>
                      <w:szCs w:val="20"/>
                    </w:rPr>
                  </w:pPr>
                  <w:r w:rsidDel="00000000" w:rsidR="00000000" w:rsidRPr="00000000">
                    <w:rPr>
                      <w:sz w:val="20"/>
                      <w:szCs w:val="20"/>
                      <w:rtl w:val="0"/>
                    </w:rPr>
                    <w:t xml:space="preserve">4.25</w:t>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Engineering Lead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C">
                  <w:pPr>
                    <w:widowControl w:val="0"/>
                    <w:jc w:val="right"/>
                    <w:rPr>
                      <w:sz w:val="20"/>
                      <w:szCs w:val="20"/>
                    </w:rPr>
                  </w:pPr>
                  <w:r w:rsidDel="00000000" w:rsidR="00000000" w:rsidRPr="00000000">
                    <w:rPr>
                      <w:sz w:val="20"/>
                      <w:szCs w:val="20"/>
                      <w:rtl w:val="0"/>
                    </w:rPr>
                    <w:t xml:space="preserve">4.25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1D">
                  <w:pPr>
                    <w:widowControl w:val="0"/>
                    <w:jc w:val="right"/>
                    <w:rPr>
                      <w:sz w:val="20"/>
                      <w:szCs w:val="20"/>
                    </w:rPr>
                  </w:pPr>
                  <w:r w:rsidDel="00000000" w:rsidR="00000000" w:rsidRPr="00000000">
                    <w:rPr>
                      <w:sz w:val="20"/>
                      <w:szCs w:val="20"/>
                      <w:rtl w:val="0"/>
                    </w:rPr>
                    <w:t xml:space="preserve">4.75</w:t>
                  </w:r>
                </w:p>
              </w:tc>
            </w:tr>
            <w:tr>
              <w:trPr>
                <w:cantSplit w:val="0"/>
                <w:trHeight w:val="411.42857142857144" w:hRule="atLeast"/>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Architect</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5</w:t>
                  </w:r>
                </w:p>
              </w:tc>
            </w:tr>
          </w:tbl>
          <w:p w:rsidR="00000000" w:rsidDel="00000000" w:rsidP="00000000" w:rsidRDefault="00000000" w:rsidRPr="00000000" w14:paraId="00000021">
            <w:pPr>
              <w:ind w:firstLine="7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ind w:firstLine="720"/>
              <w:rPr/>
            </w:pPr>
            <w:r w:rsidDel="00000000" w:rsidR="00000000" w:rsidRPr="00000000">
              <w:rPr>
                <w:rtl w:val="0"/>
              </w:rPr>
            </w:r>
          </w:p>
          <w:tbl>
            <w:tblPr>
              <w:tblStyle w:val="Table5"/>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680"/>
              <w:gridCol w:w="1470"/>
              <w:tblGridChange w:id="0">
                <w:tblGrid>
                  <w:gridCol w:w="1350"/>
                  <w:gridCol w:w="1680"/>
                  <w:gridCol w:w="147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23">
                  <w:pPr>
                    <w:widowControl w:val="0"/>
                    <w:rPr>
                      <w:color w:val="ffffff"/>
                      <w:sz w:val="20"/>
                      <w:szCs w:val="20"/>
                    </w:rPr>
                  </w:pPr>
                  <w:r w:rsidDel="00000000" w:rsidR="00000000" w:rsidRPr="00000000">
                    <w:rPr>
                      <w:b w:val="1"/>
                      <w:color w:val="ffffff"/>
                      <w:sz w:val="20"/>
                      <w:szCs w:val="20"/>
                      <w:rtl w:val="0"/>
                    </w:rPr>
                    <w:t xml:space="preserve">Dev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24">
                  <w:pPr>
                    <w:widowControl w:val="0"/>
                    <w:rPr>
                      <w:color w:val="ffffff"/>
                      <w:sz w:val="20"/>
                      <w:szCs w:val="20"/>
                    </w:rPr>
                  </w:pPr>
                  <w:r w:rsidDel="00000000" w:rsidR="00000000" w:rsidRPr="00000000">
                    <w:rPr>
                      <w:b w:val="1"/>
                      <w:color w:val="ffffff"/>
                      <w:sz w:val="20"/>
                      <w:szCs w:val="20"/>
                      <w:rtl w:val="0"/>
                    </w:rPr>
                    <w:t xml:space="preserve">Position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89bf" w:val="clear"/>
                  <w:tcMar>
                    <w:top w:w="40.0" w:type="dxa"/>
                    <w:left w:w="40.0" w:type="dxa"/>
                    <w:bottom w:w="40.0" w:type="dxa"/>
                    <w:right w:w="40.0" w:type="dxa"/>
                  </w:tcMar>
                  <w:vAlign w:val="bottom"/>
                </w:tcPr>
                <w:p w:rsidR="00000000" w:rsidDel="00000000" w:rsidP="00000000" w:rsidRDefault="00000000" w:rsidRPr="00000000" w14:paraId="00000025">
                  <w:pPr>
                    <w:widowControl w:val="0"/>
                    <w:rPr>
                      <w:color w:val="ffffff"/>
                      <w:sz w:val="20"/>
                      <w:szCs w:val="20"/>
                    </w:rPr>
                  </w:pPr>
                  <w:r w:rsidDel="00000000" w:rsidR="00000000" w:rsidRPr="00000000">
                    <w:rPr>
                      <w:b w:val="1"/>
                      <w:color w:val="ffffff"/>
                      <w:sz w:val="20"/>
                      <w:szCs w:val="20"/>
                      <w:rtl w:val="0"/>
                    </w:rPr>
                    <w:t xml:space="preserve">Assessment</w:t>
                  </w:r>
                  <w:r w:rsidDel="00000000" w:rsidR="00000000" w:rsidRPr="00000000">
                    <w:rPr>
                      <w:rtl w:val="0"/>
                    </w:rPr>
                  </w:r>
                </w:p>
              </w:tc>
            </w:tr>
            <w:tr>
              <w:trPr>
                <w:cantSplit w:val="0"/>
                <w:trHeight w:val="399.00000000000006"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Dev 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Engineer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jc w:val="right"/>
                    <w:rPr>
                      <w:color w:val="fbbc04"/>
                      <w:sz w:val="20"/>
                      <w:szCs w:val="20"/>
                    </w:rPr>
                  </w:pPr>
                  <w:r w:rsidDel="00000000" w:rsidR="00000000" w:rsidRPr="00000000">
                    <w:rPr>
                      <w:color w:val="fbbc04"/>
                      <w:rtl w:val="0"/>
                    </w:rPr>
                    <w:t xml:space="preserve">3.6</w:t>
                  </w:r>
                  <w:r w:rsidDel="00000000" w:rsidR="00000000" w:rsidRPr="00000000">
                    <w:rPr>
                      <w:rtl w:val="0"/>
                    </w:rPr>
                  </w:r>
                </w:p>
              </w:tc>
            </w:tr>
            <w:tr>
              <w:trPr>
                <w:cantSplit w:val="0"/>
                <w:trHeight w:val="399.00000000000006" w:hRule="atLeast"/>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Dev 2</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Engineer 1</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2B">
                  <w:pPr>
                    <w:widowControl w:val="0"/>
                    <w:jc w:val="right"/>
                    <w:rPr>
                      <w:color w:val="34a853"/>
                      <w:sz w:val="20"/>
                      <w:szCs w:val="20"/>
                    </w:rPr>
                  </w:pPr>
                  <w:r w:rsidDel="00000000" w:rsidR="00000000" w:rsidRPr="00000000">
                    <w:rPr>
                      <w:color w:val="34a853"/>
                      <w:sz w:val="20"/>
                      <w:szCs w:val="20"/>
                      <w:rtl w:val="0"/>
                    </w:rPr>
                    <w:t xml:space="preserve">3.23</w:t>
                  </w:r>
                </w:p>
              </w:tc>
            </w:tr>
            <w:tr>
              <w:trPr>
                <w:cantSplit w:val="0"/>
                <w:trHeight w:val="399.00000000000006"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Dev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Engineer 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color w:val="34a853"/>
                      <w:sz w:val="20"/>
                      <w:szCs w:val="20"/>
                    </w:rPr>
                  </w:pPr>
                  <w:r w:rsidDel="00000000" w:rsidR="00000000" w:rsidRPr="00000000">
                    <w:rPr>
                      <w:color w:val="34a853"/>
                      <w:sz w:val="20"/>
                      <w:szCs w:val="20"/>
                      <w:rtl w:val="0"/>
                    </w:rPr>
                    <w:t xml:space="preserve">3.8</w:t>
                  </w:r>
                </w:p>
              </w:tc>
            </w:tr>
            <w:tr>
              <w:trPr>
                <w:cantSplit w:val="0"/>
                <w:trHeight w:val="399.00000000000006" w:hRule="atLeast"/>
                <w:tblHeader w:val="0"/>
              </w:trPr>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Dev 4</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Engineer 2</w:t>
                  </w:r>
                </w:p>
              </w:tc>
              <w:tc>
                <w:tcPr>
                  <w:tcBorders>
                    <w:top w:color="000000" w:space="0" w:sz="0" w:val="nil"/>
                    <w:left w:color="000000" w:space="0" w:sz="0" w:val="nil"/>
                    <w:bottom w:color="000000" w:space="0" w:sz="0" w:val="nil"/>
                    <w:right w:color="000000" w:space="0" w:sz="0" w:val="nil"/>
                  </w:tcBorders>
                  <w:shd w:fill="f3f3f3" w:val="clear"/>
                  <w:tcMar>
                    <w:top w:w="40.0" w:type="dxa"/>
                    <w:left w:w="40.0" w:type="dxa"/>
                    <w:bottom w:w="40.0" w:type="dxa"/>
                    <w:right w:w="40.0" w:type="dxa"/>
                  </w:tcMar>
                  <w:vAlign w:val="bottom"/>
                </w:tcPr>
                <w:p w:rsidR="00000000" w:rsidDel="00000000" w:rsidP="00000000" w:rsidRDefault="00000000" w:rsidRPr="00000000" w14:paraId="00000031">
                  <w:pPr>
                    <w:widowControl w:val="0"/>
                    <w:jc w:val="right"/>
                    <w:rPr>
                      <w:color w:val="fbbc04"/>
                      <w:sz w:val="20"/>
                      <w:szCs w:val="20"/>
                    </w:rPr>
                  </w:pPr>
                  <w:r w:rsidDel="00000000" w:rsidR="00000000" w:rsidRPr="00000000">
                    <w:rPr>
                      <w:color w:val="fbbc04"/>
                      <w:sz w:val="20"/>
                      <w:szCs w:val="20"/>
                      <w:rtl w:val="0"/>
                    </w:rPr>
                    <w:t xml:space="preserve">3.2</w:t>
                  </w:r>
                </w:p>
              </w:tc>
            </w:tr>
            <w:tr>
              <w:trPr>
                <w:cantSplit w:val="0"/>
                <w:trHeight w:val="399.00000000000006"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Dev 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Engineer 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color w:val="34a853"/>
                      <w:sz w:val="20"/>
                      <w:szCs w:val="20"/>
                    </w:rPr>
                  </w:pPr>
                  <w:r w:rsidDel="00000000" w:rsidR="00000000" w:rsidRPr="00000000">
                    <w:rPr>
                      <w:color w:val="34a853"/>
                      <w:sz w:val="20"/>
                      <w:szCs w:val="20"/>
                      <w:rtl w:val="0"/>
                    </w:rPr>
                    <w:t xml:space="preserve">3.57</w:t>
                  </w:r>
                </w:p>
              </w:tc>
            </w:tr>
          </w:tbl>
          <w:p w:rsidR="00000000" w:rsidDel="00000000" w:rsidP="00000000" w:rsidRDefault="00000000" w:rsidRPr="00000000" w14:paraId="00000035">
            <w:pPr>
              <w:ind w:firstLine="720"/>
              <w:rPr/>
            </w:pPr>
            <w:r w:rsidDel="00000000" w:rsidR="00000000" w:rsidRPr="00000000">
              <w:rPr>
                <w:rtl w:val="0"/>
              </w:rPr>
            </w:r>
          </w:p>
        </w:tc>
      </w:tr>
    </w:tbl>
    <w:p w:rsidR="00000000" w:rsidDel="00000000" w:rsidP="00000000" w:rsidRDefault="00000000" w:rsidRPr="00000000" w14:paraId="00000036">
      <w:pPr>
        <w:ind w:firstLine="720"/>
        <w:rPr/>
      </w:pPr>
      <w:r w:rsidDel="00000000" w:rsidR="00000000" w:rsidRPr="00000000">
        <w:rPr>
          <w:rtl w:val="0"/>
        </w:rPr>
        <w:t xml:space="preserve">The engineering team is largely within their expected ranges with the exception of Dev 1 and Dev 4. In reviewing their performance over the last quarter there are a few easily addressable areas to help these individuals raise to their expected level. One bright spot in the assessment is Dev 2. Because of their quick grasp of the tech stack, willingness to learn, and general positive attitude, they have been promoted to Engineer 2.</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pStyle w:val="Heading2"/>
        <w:rPr/>
      </w:pPr>
      <w:bookmarkStart w:colFirst="0" w:colLast="0" w:name="_krncjeced24o" w:id="9"/>
      <w:bookmarkEnd w:id="9"/>
      <w:r w:rsidDel="00000000" w:rsidR="00000000" w:rsidRPr="00000000">
        <w:rPr>
          <w:rtl w:val="0"/>
        </w:rPr>
        <w:t xml:space="preserve">Team Strengths &amp; Weaknesses</w:t>
      </w:r>
      <w:r w:rsidDel="00000000" w:rsidR="00000000" w:rsidRPr="00000000">
        <w:rPr>
          <w:rtl w:val="0"/>
        </w:rPr>
      </w:r>
    </w:p>
    <w:tbl>
      <w:tblPr>
        <w:tblStyle w:val="Table6"/>
        <w:tblW w:w="10800.0" w:type="dxa"/>
        <w:jc w:val="center"/>
        <w:tblLayout w:type="fixed"/>
        <w:tblLook w:val="0600"/>
      </w:tblPr>
      <w:tblGrid>
        <w:gridCol w:w="10800"/>
        <w:tblGridChange w:id="0">
          <w:tblGrid>
            <w:gridCol w:w="108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288.0" w:type="dxa"/>
              <w:left w:w="288.0" w:type="dxa"/>
              <w:bottom w:w="288.0" w:type="dxa"/>
              <w:right w:w="288.0" w:type="dxa"/>
            </w:tcMar>
            <w:vAlign w:val="center"/>
          </w:tcPr>
          <w:p w:rsidR="00000000" w:rsidDel="00000000" w:rsidP="00000000" w:rsidRDefault="00000000" w:rsidRPr="00000000" w14:paraId="0000003B">
            <w:pPr>
              <w:ind w:firstLine="720"/>
              <w:rPr/>
            </w:pPr>
            <w:r w:rsidDel="00000000" w:rsidR="00000000" w:rsidRPr="00000000">
              <w:rPr>
                <w:rtl w:val="0"/>
              </w:rPr>
              <w:t xml:space="preserve">This provides you with a quick review of common themes within the engineering team for both areas they excel in and could use some training. The goal is to identify training or focused coaching for the next quarter or 6 months.</w:t>
            </w:r>
          </w:p>
        </w:tc>
      </w:tr>
    </w:tbl>
    <w:p w:rsidR="00000000" w:rsidDel="00000000" w:rsidP="00000000" w:rsidRDefault="00000000" w:rsidRPr="00000000" w14:paraId="0000003C">
      <w:pPr>
        <w:pStyle w:val="Heading3"/>
        <w:rPr>
          <w:color w:val="000000"/>
        </w:rPr>
      </w:pPr>
      <w:bookmarkStart w:colFirst="0" w:colLast="0" w:name="_gfvz1bdr2xor" w:id="10"/>
      <w:bookmarkEnd w:id="10"/>
      <w:r w:rsidDel="00000000" w:rsidR="00000000" w:rsidRPr="00000000">
        <w:rPr>
          <w:color w:val="000000"/>
          <w:rtl w:val="0"/>
        </w:rPr>
        <w:t xml:space="preserve">Strengths</w:t>
      </w:r>
      <w:r w:rsidDel="00000000" w:rsidR="00000000" w:rsidRPr="00000000">
        <w:drawing>
          <wp:anchor allowOverlap="1" behindDoc="0" distB="114300" distT="114300" distL="114300" distR="114300" hidden="0" layoutInCell="1" locked="0" relativeHeight="0" simplePos="0">
            <wp:simplePos x="0" y="0"/>
            <wp:positionH relativeFrom="column">
              <wp:posOffset>4048125</wp:posOffset>
            </wp:positionH>
            <wp:positionV relativeFrom="paragraph">
              <wp:posOffset>123825</wp:posOffset>
            </wp:positionV>
            <wp:extent cx="2805113" cy="207595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05113" cy="2075955"/>
                    </a:xfrm>
                    <a:prstGeom prst="rect"/>
                    <a:ln/>
                  </pic:spPr>
                </pic:pic>
              </a:graphicData>
            </a:graphic>
          </wp:anchor>
        </w:drawing>
      </w:r>
    </w:p>
    <w:p w:rsidR="00000000" w:rsidDel="00000000" w:rsidP="00000000" w:rsidRDefault="00000000" w:rsidRPr="00000000" w14:paraId="0000003D">
      <w:pPr>
        <w:numPr>
          <w:ilvl w:val="0"/>
          <w:numId w:val="1"/>
        </w:numPr>
        <w:ind w:left="720" w:hanging="360"/>
        <w:rPr>
          <w:color w:val="000000"/>
        </w:rPr>
      </w:pPr>
      <w:r w:rsidDel="00000000" w:rsidR="00000000" w:rsidRPr="00000000">
        <w:rPr>
          <w:rtl w:val="0"/>
        </w:rPr>
        <w:t xml:space="preserve">Problem Solving</w:t>
      </w:r>
    </w:p>
    <w:p w:rsidR="00000000" w:rsidDel="00000000" w:rsidP="00000000" w:rsidRDefault="00000000" w:rsidRPr="00000000" w14:paraId="0000003E">
      <w:pPr>
        <w:numPr>
          <w:ilvl w:val="0"/>
          <w:numId w:val="1"/>
        </w:numPr>
        <w:ind w:left="720" w:hanging="360"/>
        <w:rPr>
          <w:color w:val="000000"/>
        </w:rPr>
      </w:pPr>
      <w:r w:rsidDel="00000000" w:rsidR="00000000" w:rsidRPr="00000000">
        <w:rPr>
          <w:rtl w:val="0"/>
        </w:rPr>
        <w:t xml:space="preserve">Positive Attitude</w:t>
      </w:r>
    </w:p>
    <w:p w:rsidR="00000000" w:rsidDel="00000000" w:rsidP="00000000" w:rsidRDefault="00000000" w:rsidRPr="00000000" w14:paraId="0000003F">
      <w:pPr>
        <w:numPr>
          <w:ilvl w:val="0"/>
          <w:numId w:val="1"/>
        </w:numPr>
        <w:ind w:left="720" w:hanging="360"/>
        <w:rPr>
          <w:color w:val="000000"/>
        </w:rPr>
      </w:pPr>
      <w:r w:rsidDel="00000000" w:rsidR="00000000" w:rsidRPr="00000000">
        <w:rPr>
          <w:rtl w:val="0"/>
        </w:rPr>
        <w:t xml:space="preserve">Focus on Quality</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firstLine="720"/>
        <w:rPr/>
      </w:pPr>
      <w:r w:rsidDel="00000000" w:rsidR="00000000" w:rsidRPr="00000000">
        <w:rPr>
          <w:rtl w:val="0"/>
        </w:rPr>
        <w:t xml:space="preserve">The common theme I see within the engineering team is a focus on writing quality code that solves problems for our customers. That seems to drive our team and keep them engaged. We should lean into that when motivating the team.</w:t>
      </w:r>
      <w:r w:rsidDel="00000000" w:rsidR="00000000" w:rsidRPr="00000000">
        <w:rPr>
          <w:rtl w:val="0"/>
        </w:rPr>
      </w:r>
    </w:p>
    <w:p w:rsidR="00000000" w:rsidDel="00000000" w:rsidP="00000000" w:rsidRDefault="00000000" w:rsidRPr="00000000" w14:paraId="00000042">
      <w:pPr>
        <w:pStyle w:val="Heading3"/>
        <w:rPr>
          <w:color w:val="000000"/>
        </w:rPr>
      </w:pPr>
      <w:bookmarkStart w:colFirst="0" w:colLast="0" w:name="_9vxozud5qzwz" w:id="11"/>
      <w:bookmarkEnd w:id="11"/>
      <w:r w:rsidDel="00000000" w:rsidR="00000000" w:rsidRPr="00000000">
        <w:rPr>
          <w:color w:val="000000"/>
          <w:rtl w:val="0"/>
        </w:rPr>
        <w:t xml:space="preserve">Weaknesses</w:t>
      </w:r>
      <w:r w:rsidDel="00000000" w:rsidR="00000000" w:rsidRPr="00000000">
        <w:drawing>
          <wp:anchor allowOverlap="1" behindDoc="0" distB="114300" distT="114300" distL="114300" distR="114300" hidden="0" layoutInCell="1" locked="0" relativeHeight="0" simplePos="0">
            <wp:simplePos x="0" y="0"/>
            <wp:positionH relativeFrom="column">
              <wp:posOffset>3743325</wp:posOffset>
            </wp:positionH>
            <wp:positionV relativeFrom="paragraph">
              <wp:posOffset>552450</wp:posOffset>
            </wp:positionV>
            <wp:extent cx="3121286" cy="17573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1286" cy="1757363"/>
                    </a:xfrm>
                    <a:prstGeom prst="rect"/>
                    <a:ln/>
                  </pic:spPr>
                </pic:pic>
              </a:graphicData>
            </a:graphic>
          </wp:anchor>
        </w:drawing>
      </w:r>
    </w:p>
    <w:p w:rsidR="00000000" w:rsidDel="00000000" w:rsidP="00000000" w:rsidRDefault="00000000" w:rsidRPr="00000000" w14:paraId="00000043">
      <w:pPr>
        <w:numPr>
          <w:ilvl w:val="0"/>
          <w:numId w:val="1"/>
        </w:numPr>
        <w:ind w:left="720" w:hanging="360"/>
        <w:rPr>
          <w:color w:val="000000"/>
        </w:rPr>
      </w:pPr>
      <w:r w:rsidDel="00000000" w:rsidR="00000000" w:rsidRPr="00000000">
        <w:rPr>
          <w:rtl w:val="0"/>
        </w:rPr>
        <w:t xml:space="preserve">Communication</w:t>
      </w:r>
    </w:p>
    <w:p w:rsidR="00000000" w:rsidDel="00000000" w:rsidP="00000000" w:rsidRDefault="00000000" w:rsidRPr="00000000" w14:paraId="00000044">
      <w:pPr>
        <w:numPr>
          <w:ilvl w:val="0"/>
          <w:numId w:val="1"/>
        </w:numPr>
        <w:ind w:left="720" w:hanging="360"/>
        <w:rPr>
          <w:color w:val="000000"/>
        </w:rPr>
      </w:pPr>
      <w:r w:rsidDel="00000000" w:rsidR="00000000" w:rsidRPr="00000000">
        <w:rPr>
          <w:rtl w:val="0"/>
        </w:rPr>
        <w:t xml:space="preserve">Confidence</w:t>
      </w:r>
    </w:p>
    <w:p w:rsidR="00000000" w:rsidDel="00000000" w:rsidP="00000000" w:rsidRDefault="00000000" w:rsidRPr="00000000" w14:paraId="00000045">
      <w:pPr>
        <w:numPr>
          <w:ilvl w:val="0"/>
          <w:numId w:val="1"/>
        </w:numPr>
        <w:ind w:left="720" w:hanging="360"/>
        <w:rPr>
          <w:color w:val="000000"/>
        </w:rPr>
      </w:pPr>
      <w:r w:rsidDel="00000000" w:rsidR="00000000" w:rsidRPr="00000000">
        <w:rPr>
          <w:rtl w:val="0"/>
        </w:rPr>
        <w:t xml:space="preserve">Attendance &amp; Punctuality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The team does seem to struggle with many “soft skills” which is not surprising. Most engineers focus on honing their technical skills and gloss over things like communication and attendance. These areas can make or break teams, so we need to show the engineers the value of becoming more well rounded employees.</w:t>
      </w:r>
    </w:p>
    <w:p w:rsidR="00000000" w:rsidDel="00000000" w:rsidP="00000000" w:rsidRDefault="00000000" w:rsidRPr="00000000" w14:paraId="00000048">
      <w:pPr>
        <w:pStyle w:val="Heading2"/>
        <w:rPr/>
      </w:pPr>
      <w:bookmarkStart w:colFirst="0" w:colLast="0" w:name="_3oo7wnsud4u5" w:id="12"/>
      <w:bookmarkEnd w:id="12"/>
      <w:r w:rsidDel="00000000" w:rsidR="00000000" w:rsidRPr="00000000">
        <w:rPr>
          <w:rtl w:val="0"/>
        </w:rPr>
        <w:t xml:space="preserve">Individual Notes</w:t>
      </w:r>
    </w:p>
    <w:p w:rsidR="00000000" w:rsidDel="00000000" w:rsidP="00000000" w:rsidRDefault="00000000" w:rsidRPr="00000000" w14:paraId="00000049">
      <w:pPr>
        <w:numPr>
          <w:ilvl w:val="0"/>
          <w:numId w:val="1"/>
        </w:numPr>
        <w:ind w:left="720" w:hanging="360"/>
        <w:rPr>
          <w:color w:val="000000"/>
        </w:rPr>
      </w:pPr>
      <w:r w:rsidDel="00000000" w:rsidR="00000000" w:rsidRPr="00000000">
        <w:rPr>
          <w:rtl w:val="0"/>
        </w:rPr>
        <w:t xml:space="preserve">Attendance needs to be addressed within the team. It has gotten better, but is still not to the level I would expect.</w:t>
      </w:r>
    </w:p>
    <w:p w:rsidR="00000000" w:rsidDel="00000000" w:rsidP="00000000" w:rsidRDefault="00000000" w:rsidRPr="00000000" w14:paraId="0000004A">
      <w:pPr>
        <w:numPr>
          <w:ilvl w:val="0"/>
          <w:numId w:val="1"/>
        </w:numPr>
        <w:ind w:left="720" w:hanging="360"/>
        <w:rPr>
          <w:color w:val="000000"/>
        </w:rPr>
      </w:pPr>
      <w:r w:rsidDel="00000000" w:rsidR="00000000" w:rsidRPr="00000000">
        <w:rPr>
          <w:rtl w:val="0"/>
        </w:rPr>
        <w:t xml:space="preserve">The team has identified a lack of focus at times when going over their reviews. There may be an opportunity to work as a management team to ensure the rest of the department is not getting distracted.</w:t>
      </w:r>
    </w:p>
    <w:p w:rsidR="00000000" w:rsidDel="00000000" w:rsidP="00000000" w:rsidRDefault="00000000" w:rsidRPr="00000000" w14:paraId="0000004B">
      <w:pPr>
        <w:numPr>
          <w:ilvl w:val="0"/>
          <w:numId w:val="1"/>
        </w:numPr>
        <w:ind w:left="720" w:hanging="360"/>
        <w:rPr>
          <w:color w:val="000000"/>
        </w:rPr>
      </w:pPr>
      <w:r w:rsidDel="00000000" w:rsidR="00000000" w:rsidRPr="00000000">
        <w:rPr>
          <w:rtl w:val="0"/>
        </w:rPr>
        <w:t xml:space="preserve">The assessment was only completed with 5 engineers as one engineer 2 recently left and an engineer 1 has just started. There may be outliers due to the small sample size.</w:t>
      </w:r>
    </w:p>
    <w:p w:rsidR="00000000" w:rsidDel="00000000" w:rsidP="00000000" w:rsidRDefault="00000000" w:rsidRPr="00000000" w14:paraId="0000004C">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089bf"/>
        <w:u w:val="none"/>
      </w:rPr>
    </w:lvl>
    <w:lvl w:ilvl="1">
      <w:start w:val="1"/>
      <w:numFmt w:val="bullet"/>
      <w:lvlText w:val="■"/>
      <w:lvlJc w:val="left"/>
      <w:pPr>
        <w:ind w:left="1440" w:hanging="360"/>
      </w:pPr>
      <w:rPr>
        <w:color w:val="0089b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open?id=1eC25NKTt8fnNsxcJuqrjKXN0jPCNISAswKx6FDZy81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