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Calibri" w:cs="Calibri" w:eastAsia="Calibri" w:hAnsi="Calibri"/>
          <w:b/>
          <w:bCs/>
          <w:color w:val="2B5F6B"/>
          <w:sz w:val="56"/>
          <w:szCs w:val="56"/>
        </w:rPr>
        <w:t xml:space="preserve">ENLAZA</w:t>
      </w:r>
    </w:p>
    <w:p>
      <w:pPr>
        <w:spacing w:after="80" w:before="120"/>
        <w:jc w:val="center"/>
      </w:pPr>
      <w:r>
        <w:rPr>
          <w:rFonts w:ascii="Calibri" w:cs="Calibri" w:eastAsia="Calibri" w:hAnsi="Calibri"/>
          <w:b/>
          <w:bCs/>
          <w:color w:val="1D2A32"/>
          <w:sz w:val="32"/>
          <w:szCs w:val="32"/>
        </w:rPr>
        <w:t xml:space="preserve">Auditoría integral: arquitectura, seguridad y posicionamiento de mercado</w:t>
      </w:r>
    </w:p>
    <w:p>
      <w:pPr>
        <w:spacing w:after="600"/>
        <w:jc w:val="center"/>
      </w:pPr>
      <w:r>
        <w:rPr>
          <w:rFonts w:ascii="Calibri" w:cs="Calibri" w:eastAsia="Calibri" w:hAnsi="Calibri"/>
          <w:color w:val="5A6B72"/>
          <w:sz w:val="22"/>
          <w:szCs w:val="22"/>
        </w:rPr>
        <w:t xml:space="preserve">Preparado para David Vargas — 26 de octubre de 2026</w:t>
      </w:r>
    </w:p>
    <w:p>
      <w:pPr>
        <w:spacing w:after="40"/>
        <w:jc w:val="center"/>
      </w:pPr>
      <w:r>
        <w:rPr>
          <w:rFonts w:ascii="Calibri" w:cs="Calibri" w:eastAsia="Calibri" w:hAnsi="Calibri"/>
          <w:i/>
          <w:iCs/>
          <w:color w:val="5A6B72"/>
          <w:sz w:val="20"/>
          <w:szCs w:val="20"/>
        </w:rPr>
        <w:t xml:space="preserve">Metodología: revisión de solo lectura del código fuente en producción (server.js, public/*, tests/), más investigación de mercado 2026.</w:t>
      </w:r>
    </w:p>
    <w:p>
      <w:r>
        <w:br w:type="page"/>
      </w:r>
    </w:p>
    <w:p>
      <w:pPr>
        <w:pStyle w:val="Heading1"/>
        <w:spacing w:after="200" w:before="420"/>
      </w:pPr>
      <w:r>
        <w:t xml:space="preserve">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20"/>
      </w:pPr>
      <w:r>
        <w:t xml:space="preserve">1. Resumen ejecutivo</w:t>
      </w:r>
    </w:p>
    <w:p>
      <w:pPr>
        <w:spacing w:after="160" w:line="276"/>
      </w:pPr>
      <w:r>
        <w:rPr>
          <w:rFonts w:ascii="Calibri" w:cs="Calibri" w:eastAsia="Calibri" w:hAnsi="Calibri"/>
          <w:sz w:val="22"/>
          <w:szCs w:val="22"/>
        </w:rPr>
        <w:t xml:space="preserve">Este informe combina tres revisiones independientes del sistema Enlaza: una auditoría de arquitectura de software, una auditoría de seguridad con mentalidad adversarial ("como un hacker"), y una comparación con el mercado colombiano de software contable en 2026. Las tres se hicieron sobre el código fuente real en uso (no una copia de respaldo), con acceso de solo lectura -- no se modificó ningún archivo.</w:t>
      </w:r>
    </w:p>
    <w:p>
      <w:pPr>
        <w:spacing w:after="160" w:line="276"/>
      </w:pPr>
      <w:r>
        <w:rPr>
          <w:rFonts w:ascii="Calibri" w:cs="Calibri" w:eastAsia="Calibri" w:hAnsi="Calibri"/>
          <w:sz w:val="22"/>
          <w:szCs w:val="22"/>
        </w:rPr>
        <w:t xml:space="preserve">El hallazgo más importante, transversal a los tres informes: Enlaza tiene una base de ingeniería notablemente cuidada para su tamaño -- en particular, el aislamiento entre firmas (multi-tenancy) y la protección contra accesos cruzados entre clientes está excepcionalmente bien resuelta, sin inyección SQL, sin fugas de secretos y con autorización real en el servidor, no solo en la interfaz. Eso es exactamente lo que más debería preocupar en un SaaS contable multi-cliente, y está bien hecho.</w:t>
      </w:r>
    </w:p>
    <w:p>
      <w:pPr>
        <w:spacing w:after="160" w:line="276"/>
      </w:pPr>
      <w:r>
        <w:rPr>
          <w:rFonts w:ascii="Calibri" w:cs="Calibri" w:eastAsia="Calibri" w:hAnsi="Calibri"/>
          <w:sz w:val="22"/>
          <w:szCs w:val="22"/>
        </w:rPr>
        <w:t xml:space="preserve">Al mismo tiempo, hay tres frentes que conviene atender pronto, por orden de urgencia real:</w:t>
      </w:r>
    </w:p>
    <w:p>
      <w:pPr>
        <w:pStyle w:val="ListParagraph"/>
        <w:numPr>
          <w:ilvl w:val="0"/>
          <w:numId w:val="2"/>
        </w:numPr>
        <w:spacing w:after="100" w:line="270"/>
      </w:pPr>
      <w:r>
        <w:rPr>
          <w:rFonts w:ascii="Calibri" w:cs="Calibri" w:eastAsia="Calibri" w:hAnsi="Calibri"/>
          <w:sz w:val="22"/>
          <w:szCs w:val="22"/>
        </w:rPr>
        <w:t xml:space="preserve">Un hueco de seguridad con impacto financiero directo: la Carga masiva puede usarse para disparar un volumen de llamadas a la IA (Gemini) muy por encima de lo que el propio sistema de límites fue diseñado para permitir, lo que se traduce en una factura de API más alta de lo esperado.</w:t>
      </w:r>
    </w:p>
    <w:p>
      <w:pPr>
        <w:pStyle w:val="ListParagraph"/>
        <w:numPr>
          <w:ilvl w:val="0"/>
          <w:numId w:val="2"/>
        </w:numPr>
        <w:spacing w:after="100" w:line="270"/>
      </w:pPr>
      <w:r>
        <w:rPr>
          <w:rFonts w:ascii="Calibri" w:cs="Calibri" w:eastAsia="Calibri" w:hAnsi="Calibri"/>
          <w:sz w:val="22"/>
          <w:szCs w:val="22"/>
        </w:rPr>
        <w:t xml:space="preserve">Un punto ciego de auditoría contable: hoy se puede editar una factura después de aprobada sin que quede ningún rastro de quién cambió qué -- relevante tanto para fraude interno como para sustentar cifras ante la DIAN.</w:t>
      </w:r>
    </w:p>
    <w:p>
      <w:pPr>
        <w:pStyle w:val="ListParagraph"/>
        <w:numPr>
          <w:ilvl w:val="0"/>
          <w:numId w:val="2"/>
        </w:numPr>
        <w:spacing w:after="100" w:line="270"/>
      </w:pPr>
      <w:r>
        <w:rPr>
          <w:rFonts w:ascii="Calibri" w:cs="Calibri" w:eastAsia="Calibri" w:hAnsi="Calibri"/>
          <w:sz w:val="22"/>
          <w:szCs w:val="22"/>
        </w:rPr>
        <w:t xml:space="preserve">Un riesgo de rendimiento que crece solo con el éxito del negocio: el listado de facturas trae todo el historial completo (incluyendo el documento original en base64) sin paginar, así que entre más factura cada cliente, más lenta se vuelve la pantalla para siempre.</w:t>
      </w:r>
    </w:p>
    <w:p>
      <w:pPr>
        <w:spacing w:after="160" w:line="276"/>
      </w:pPr>
      <w:r>
        <w:rPr>
          <w:rFonts w:ascii="Calibri" w:cs="Calibri" w:eastAsia="Calibri" w:hAnsi="Calibri"/>
          <w:sz w:val="22"/>
          <w:szCs w:val="22"/>
        </w:rPr>
        <w:t xml:space="preserve">En el frente de mercado, la noticia más relevante es que Enlaza no compite solo contra los jugadores grandes y lentos (Siigo, Alegra, World Office, Helisa) -- ya existen al menos tres startups colombianas (Cifrato, respaldada por Y Combinator con US$1M de ARR; AX1; Back Contable) vendiendo casi exactamente la misma propuesta: IA que lee facturas colombianas y las causa automáticamente, para contadores con varios clientes. Eso valida que el problema que Enlaza ataca es real, pero significa que el terreno no está libre.</w:t>
      </w:r>
    </w:p>
    <w:p>
      <w:pPr>
        <w:pStyle w:val="Heading3"/>
        <w:spacing w:after="100" w:before="220"/>
      </w:pPr>
      <w:r>
        <w:t xml:space="preserve">Cómo leer este informe</w:t>
      </w:r>
    </w:p>
    <w:p>
      <w:pPr>
        <w:spacing w:after="160" w:line="276"/>
      </w:pPr>
      <w:r>
        <w:rPr>
          <w:rFonts w:ascii="Calibri" w:cs="Calibri" w:eastAsia="Calibri" w:hAnsi="Calibri"/>
          <w:sz w:val="22"/>
          <w:szCs w:val="22"/>
        </w:rPr>
        <w:t xml:space="preserve">La sección 2 cubre arquitectura de software (cómo está construido y qué tan bien escala). La sección 3 cubre seguridad (qué tan difícil sería atacarlo). La sección 4 compara a Enlaza con el mercado. La sección 5 consolida todo en un plan de acción único, ordenado por prioridad real, no por en qué informe apareció cada punto.</w:t>
      </w:r>
    </w:p>
    <w:p>
      <w:r>
        <w:br w:type="page"/>
      </w:r>
    </w:p>
    <w:p>
      <w:pPr>
        <w:pStyle w:val="Heading1"/>
        <w:spacing w:after="200" w:before="420"/>
      </w:pPr>
      <w:r>
        <w:t xml:space="preserve">2. Arquitectura del sistema</w:t>
      </w:r>
    </w:p>
    <w:p>
      <w:pPr>
        <w:spacing w:after="160" w:line="276"/>
      </w:pPr>
      <w:r>
        <w:rPr>
          <w:rFonts w:ascii="Calibri" w:cs="Calibri" w:eastAsia="Calibri" w:hAnsi="Calibri"/>
          <w:sz w:val="22"/>
          <w:szCs w:val="22"/>
        </w:rPr>
        <w:t xml:space="preserve">Revisión realizada directamente sobre la copia en uso del proyecto (server.js y todo public/), sin modificar ningún archivo.</w:t>
      </w:r>
    </w:p>
    <w:p>
      <w:pPr>
        <w:pStyle w:val="Heading2"/>
        <w:spacing w:after="140" w:before="320"/>
      </w:pPr>
      <w:r>
        <w:t xml:space="preserve">2.1 Estructura general</w:t>
      </w:r>
    </w:p>
    <w:p>
      <w:pPr>
        <w:pStyle w:val="ListParagraph"/>
        <w:numPr>
          <w:ilvl w:val="0"/>
          <w:numId w:val="2"/>
        </w:numPr>
        <w:spacing w:after="100" w:line="270"/>
      </w:pPr>
      <w:r>
        <w:rPr>
          <w:rFonts w:ascii="Calibri" w:cs="Calibri" w:eastAsia="Calibri" w:hAnsi="Calibri"/>
          <w:sz w:val="22"/>
          <w:szCs w:val="22"/>
        </w:rPr>
        <w:t xml:space="preserve">server.js: 4.345 líneas (236 KB). Es un monolito: no hay carpetas routes/, controllers/ ni models/ -- la única modularización real son archivos funcionales sueltos en la raíz (asientos.js: motor contable; cartera.js: conciliación bancaria; integraciones.js: Alegra/Siigo + cifrado AES-256-GCM; seguridad.js: cabeceras/CORS/rate-limit escritos a mano) y public/retenciones.js (motor fiscal, compartido entre cliente y servidor vía require()).</w:t>
      </w:r>
    </w:p>
    <w:p>
      <w:pPr>
        <w:pStyle w:val="ListParagraph"/>
        <w:numPr>
          <w:ilvl w:val="0"/>
          <w:numId w:val="2"/>
        </w:numPr>
        <w:spacing w:after="100" w:line="270"/>
      </w:pPr>
      <w:r>
        <w:rPr>
          <w:rFonts w:ascii="Calibri" w:cs="Calibri" w:eastAsia="Calibri" w:hAnsi="Calibri"/>
          <w:sz w:val="22"/>
          <w:szCs w:val="22"/>
        </w:rPr>
        <w:t xml:space="preserve">69 rutas HTTP en total, todas registradas directo sobre la app de Express, sin Router() ni agrupación por dominio.</w:t>
      </w:r>
    </w:p>
    <w:p>
      <w:pPr>
        <w:pStyle w:val="ListParagraph"/>
        <w:numPr>
          <w:ilvl w:val="0"/>
          <w:numId w:val="2"/>
        </w:numPr>
        <w:spacing w:after="100" w:line="270"/>
      </w:pPr>
      <w:r>
        <w:rPr>
          <w:rFonts w:ascii="Calibri" w:cs="Calibri" w:eastAsia="Calibri" w:hAnsi="Calibri"/>
          <w:sz w:val="22"/>
          <w:szCs w:val="22"/>
        </w:rPr>
        <w:t xml:space="preserve">public/: 17 páginas .html (de 2 KB a 168 KB -- escanear.html es la más grande, seguida de masivo.html con 136 KB y facturas.html con 82 KB) y 11 archivos .js compartidos. En total, ≈21.120 líneas de HTML+JS de frontend.</w:t>
      </w:r>
    </w:p>
    <w:p>
      <w:pPr>
        <w:pStyle w:val="ListParagraph"/>
        <w:numPr>
          <w:ilvl w:val="0"/>
          <w:numId w:val="2"/>
        </w:numPr>
        <w:spacing w:after="100" w:line="270"/>
      </w:pPr>
      <w:r>
        <w:rPr>
          <w:rFonts w:ascii="Calibri" w:cs="Calibri" w:eastAsia="Calibri" w:hAnsi="Calibri"/>
          <w:sz w:val="22"/>
          <w:szCs w:val="22"/>
        </w:rPr>
        <w:t xml:space="preserve">tests/: solo 2 archivos (asientos.test.js y retenciones.test.js), 54 pruebas en total. package.json usa deliberadamente pocas dependencias (sin ORM, sin helmet/cors/rate-limit de npm -- reescritos a mano con el motivo documentado en el propio código).</w:t>
      </w:r>
    </w:p>
    <w:p>
      <w:pPr>
        <w:pStyle w:val="ListParagraph"/>
        <w:numPr>
          <w:ilvl w:val="0"/>
          <w:numId w:val="2"/>
        </w:numPr>
        <w:spacing w:after="100" w:line="270"/>
      </w:pPr>
      <w:r>
        <w:rPr>
          <w:rFonts w:ascii="Calibri" w:cs="Calibri" w:eastAsia="Calibri" w:hAnsi="Calibri"/>
          <w:sz w:val="22"/>
          <w:szCs w:val="22"/>
        </w:rPr>
        <w:t xml:space="preserve">Higiene de repositorio: hay dos archivos con sufijo "-MacBook de David" (copias de conflicto de una carpeta sincronizada que terminaron subidas a git), un .DS_Store, y una carpeta "Claude outputs/" con .zip de despliegues viejos en la raíz. No es urgente, pero conviene limpiarlo antes de sumar más desarrolladores.</w:t>
      </w:r>
    </w:p>
    <w:p>
      <w:pPr>
        <w:pStyle w:val="Heading2"/>
        <w:spacing w:after="140" w:before="320"/>
      </w:pPr>
      <w:r>
        <w:t xml:space="preserve">2.2 Esquema de base de datos</w:t>
      </w:r>
    </w:p>
    <w:p>
      <w:pPr>
        <w:spacing w:after="160" w:line="276"/>
      </w:pPr>
      <w:r>
        <w:rPr>
          <w:rFonts w:ascii="Calibri" w:cs="Calibri" w:eastAsia="Calibri" w:hAnsi="Calibri"/>
          <w:sz w:val="22"/>
          <w:szCs w:val="22"/>
        </w:rPr>
        <w:t xml:space="preserve">El esquema se reconstruye enteramente desde una función que corre en cada arranque (CREATE TABLE IF NOT EXISTS + decenas de ALTER TABLE ADD COLUMN IF NOT EXISTS) -- no hay herramienta de migraciones (Flyway/Knex/node-pg-migrate) ni carpeta migrations/. Es un enfoque artesanal pero honesto: cada cambio de esquema está comentado con el porqué y la fecha de la decisión, y hay una tabla propia (migraciones_app) para backfills de una sola vez.</w:t>
      </w:r>
    </w:p>
    <w:p>
      <w:pPr>
        <w:spacing w:after="160" w:line="276"/>
      </w:pPr>
      <w:r>
        <w:rPr>
          <w:rFonts w:ascii="Calibri" w:cs="Calibri" w:eastAsia="Calibri" w:hAnsi="Calibri"/>
          <w:sz w:val="22"/>
          <w:szCs w:val="22"/>
        </w:rPr>
        <w:t xml:space="preserve">Tablas principales reconstruidas: users, invoices (la tabla central, ~45 columnas), clients, authorized_emails, factura_items, movimientos_banco, plantillas_exportacion, concepto_correcciones, tarifa_proveedor_aprendida, terceros_fiscales, puc_personalizado_cliente, tarifas_ica, invitaciones_firma, integraciones_contables, plan_cuentas, asientos_contables, asiento_lineas, migraciones_app y miembro_clientes.</w:t>
      </w:r>
    </w:p>
    <w:p>
      <w:pPr>
        <w:pStyle w:val="ListParagraph"/>
        <w:numPr>
          <w:ilvl w:val="0"/>
          <w:numId w:val="2"/>
        </w:numPr>
        <w:spacing w:after="100" w:line="270"/>
      </w:pPr>
      <w:r>
        <w:rPr>
          <w:rFonts w:ascii="Calibri" w:cs="Calibri" w:eastAsia="Calibri" w:hAnsi="Calibri"/>
          <w:b/>
          <w:bCs/>
          <w:sz w:val="22"/>
          <w:szCs w:val="22"/>
        </w:rPr>
        <w:t xml:space="preserve">Dato notable: </w:t>
      </w:r>
      <w:r>
        <w:rPr>
          <w:rFonts w:ascii="Calibri" w:cs="Calibri" w:eastAsia="Calibri" w:hAnsi="Calibri"/>
          <w:sz w:val="22"/>
          <w:szCs w:val="22"/>
        </w:rPr>
        <w:t xml:space="preserve">casi todos los valores monetarios en invoices (y en clients, movimientos_banco, plantillas_exportacion) se guardan como TEXT, no NUMERIC -- una decisión coherente con la filosofía del proyecto de nunca alterar el número tal cual viene del documento, pero que ya limita qué tan bien escalan los reportes (toca traer filas a memoria y parsear en JavaScript en vez de usar SUM()/AVG() nativos de Postgres).</w:t>
      </w:r>
    </w:p>
    <w:p>
      <w:pPr>
        <w:pStyle w:val="ListParagraph"/>
        <w:numPr>
          <w:ilvl w:val="0"/>
          <w:numId w:val="2"/>
        </w:numPr>
        <w:spacing w:after="100" w:line="270"/>
      </w:pPr>
      <w:r>
        <w:rPr>
          <w:rFonts w:ascii="Calibri" w:cs="Calibri" w:eastAsia="Calibri" w:hAnsi="Calibri"/>
          <w:b/>
          <w:bCs/>
          <w:sz w:val="22"/>
          <w:szCs w:val="22"/>
        </w:rPr>
        <w:t xml:space="preserve">Integridad referencial parcial: </w:t>
      </w:r>
      <w:r>
        <w:rPr>
          <w:rFonts w:ascii="Calibri" w:cs="Calibri" w:eastAsia="Calibri" w:hAnsi="Calibri"/>
          <w:sz w:val="22"/>
          <w:szCs w:val="22"/>
        </w:rPr>
        <w:t xml:space="preserve">de todas las relaciones del modelo, solo factura_items→invoices y miembro_clientes→users/clients tienen llaves foráneas reales de Postgres. El resto (contador_id en todas las tablas, cliente_id, invoice_id en movimientos_banco/asientos_contables) son UUID sueltos sin constraint -- funciona hoy por la disciplina del código, pero es frágil ante un script de mantenimiento futuro o un desarrollador nuevo que no conozca la convención.</w:t>
      </w:r>
    </w:p>
    <w:p>
      <w:pPr>
        <w:pStyle w:val="Heading2"/>
        <w:spacing w:after="140" w:before="320"/>
      </w:pPr>
      <w:r>
        <w:t xml:space="preserve">2.3 Multi-tenancy (aislamiento entre firmas)</w:t>
      </w:r>
    </w:p>
    <w:p>
      <w:pPr>
        <w:spacing w:after="160" w:line="276"/>
      </w:pPr>
      <w:r>
        <w:rPr>
          <w:rFonts w:ascii="Calibri" w:cs="Calibri" w:eastAsia="Calibri" w:hAnsi="Calibri"/>
          <w:sz w:val="22"/>
          <w:szCs w:val="22"/>
        </w:rPr>
        <w:t xml:space="preserve">No existe una tabla "firmas" separada -- se reutiliza users: cada usuario tiene firma_id y role, y todas las tablas de negocio filtran por contador_id (resuelto una sola vez por request como req.firmaId). Hay además un segundo nivel -- miembro_clientes + puedeAccederCliente() -- para restringir a un usuario puntual a ver solo ciertos clientes dentro de su propia firma.</w:t>
      </w:r>
    </w:p>
    <w:p>
      <w:pPr>
        <w:spacing w:after="160" w:line="276"/>
      </w:pPr>
      <w:r>
        <w:rPr>
          <w:rFonts w:ascii="Calibri" w:cs="Calibri" w:eastAsia="Calibri" w:hAnsi="Calibri"/>
          <w:sz w:val="22"/>
          <w:szCs w:val="22"/>
        </w:rPr>
        <w:t xml:space="preserve">Se revisaron sistemáticamente las 69 rutas: el filtro por firma aparece en prácticamente toda consulta de negocio (120 referencias a contador_id, 109 a req.firmaId), y los casos con clientes específicos aplican además el segundo chequeo. No se encontró ninguna ruta de negocio que se haya "escapado" de este filtro.</w:t>
      </w:r>
    </w:p>
    <w:p>
      <w:pPr>
        <w:pStyle w:val="ListParagraph"/>
        <w:numPr>
          <w:ilvl w:val="0"/>
          <w:numId w:val="2"/>
        </w:numPr>
        <w:spacing w:after="100" w:line="270"/>
      </w:pPr>
      <w:r>
        <w:rPr>
          <w:rFonts w:ascii="Calibri" w:cs="Calibri" w:eastAsia="Calibri" w:hAnsi="Calibri"/>
          <w:b/>
          <w:bCs/>
          <w:sz w:val="22"/>
          <w:szCs w:val="22"/>
        </w:rPr>
        <w:t xml:space="preserve">Único matiz (no es un hueco explotable hoy, pero sí un riesgo a futuro): </w:t>
      </w:r>
      <w:r>
        <w:rPr>
          <w:rFonts w:ascii="Calibri" w:cs="Calibri" w:eastAsia="Calibri" w:hAnsi="Calibri"/>
          <w:sz w:val="22"/>
          <w:szCs w:val="22"/>
        </w:rPr>
        <w:t xml:space="preserve">en la aprobación de facturas, el SELECT de verificación de pertenencia sí valida la firma, pero el UPDATE posterior que aprueba confía en ese SELECT previo en vez de repetir el filtro. Un refactor futuro que reordene ese bloque podría introducir una fuga entre firmas sin que se note en el diff.</w:t>
      </w:r>
    </w:p>
    <w:p>
      <w:pPr>
        <w:pStyle w:val="Heading2"/>
        <w:spacing w:after="140" w:before="320"/>
      </w:pPr>
      <w:r>
        <w:t xml:space="preserve">2.4 Autenticación y autorización</w:t>
      </w:r>
    </w:p>
    <w:p>
      <w:pPr>
        <w:pStyle w:val="ListParagraph"/>
        <w:numPr>
          <w:ilvl w:val="0"/>
          <w:numId w:val="2"/>
        </w:numPr>
        <w:spacing w:after="100" w:line="270"/>
      </w:pPr>
      <w:r>
        <w:rPr>
          <w:rFonts w:ascii="Calibri" w:cs="Calibri" w:eastAsia="Calibri" w:hAnsi="Calibri"/>
          <w:sz w:val="22"/>
          <w:szCs w:val="22"/>
        </w:rPr>
        <w:t xml:space="preserve">Login vía Google Identity Services, verificado con la librería oficial de Google, contra una lista blanca opcional de correos autorizados, con soporte de invitaciones a firmas existentes.</w:t>
      </w:r>
    </w:p>
    <w:p>
      <w:pPr>
        <w:pStyle w:val="ListParagraph"/>
        <w:numPr>
          <w:ilvl w:val="0"/>
          <w:numId w:val="2"/>
        </w:numPr>
        <w:spacing w:after="100" w:line="270"/>
      </w:pPr>
      <w:r>
        <w:rPr>
          <w:rFonts w:ascii="Calibri" w:cs="Calibri" w:eastAsia="Calibri" w:hAnsi="Calibri"/>
          <w:sz w:val="22"/>
          <w:szCs w:val="22"/>
        </w:rPr>
        <w:t xml:space="preserve">Sesión: JWT firmado en cookie httpOnly, secure en producción, SameSite=lax, 30 días de duración.</w:t>
      </w:r>
    </w:p>
    <w:p>
      <w:pPr>
        <w:pStyle w:val="ListParagraph"/>
        <w:numPr>
          <w:ilvl w:val="0"/>
          <w:numId w:val="2"/>
        </w:numPr>
        <w:spacing w:after="100" w:line="270"/>
      </w:pPr>
      <w:r>
        <w:rPr>
          <w:rFonts w:ascii="Calibri" w:cs="Calibri" w:eastAsia="Calibri" w:hAnsi="Calibri"/>
          <w:sz w:val="22"/>
          <w:szCs w:val="22"/>
        </w:rPr>
        <w:t xml:space="preserve">Autorización: un middleware central resuelve usuario/firma/rol/clientes-asignados en cada request; una regla global bloquea cualquier escritura para el rol "solo_lectura" en un solo punto, en vez de repetirla en ~35 rutas; un middleware de rol se aplica selectivamente en las rutas que lo necesitan.</w:t>
      </w:r>
    </w:p>
    <w:p>
      <w:pPr>
        <w:pStyle w:val="ListParagraph"/>
        <w:numPr>
          <w:ilvl w:val="0"/>
          <w:numId w:val="2"/>
        </w:numPr>
        <w:spacing w:after="100" w:line="270"/>
      </w:pPr>
      <w:r>
        <w:rPr>
          <w:rFonts w:ascii="Calibri" w:cs="Calibri" w:eastAsia="Calibri" w:hAnsi="Calibri"/>
          <w:sz w:val="22"/>
          <w:szCs w:val="22"/>
        </w:rPr>
        <w:t xml:space="preserve">La capa de permisos del frontend (permisos-ui.js) es explícitamente solo cosmética (oculta botones) -- el propio comentario del archivo aclara que el bloqueo real vive en el servidor. Diseño correcto: no depender de ocultar botones como medida de seguridad.</w:t>
      </w:r>
    </w:p>
    <w:p>
      <w:pPr>
        <w:pStyle w:val="Heading2"/>
        <w:spacing w:after="140" w:before="320"/>
      </w:pPr>
      <w:r>
        <w:t xml:space="preserve">2.5 Duplicación de código entre pantallas</w:t>
      </w:r>
    </w:p>
    <w:p>
      <w:pPr>
        <w:spacing w:after="160" w:line="276"/>
      </w:pPr>
      <w:r>
        <w:rPr>
          <w:rFonts w:ascii="Calibri" w:cs="Calibri" w:eastAsia="Calibri" w:hAnsi="Calibri"/>
          <w:sz w:val="22"/>
          <w:szCs w:val="22"/>
        </w:rPr>
        <w:t xml:space="preserve">El motor de cálculo fiscal (public/retenciones.js) está genuinamente bien compartido: se usa igual en escanear.html, masivo.html, revision.html, y se importa tal cual desde el servidor para generar los asientos contables -- una sola fuente de verdad, y la parte del sistema con cobertura de tests real.</w:t>
      </w:r>
    </w:p>
    <w:p>
      <w:pPr>
        <w:spacing w:after="160" w:line="276"/>
      </w:pPr>
      <w:r>
        <w:rPr>
          <w:rFonts w:ascii="Calibri" w:cs="Calibri" w:eastAsia="Calibri" w:hAnsi="Calibri"/>
          <w:sz w:val="22"/>
          <w:szCs w:val="22"/>
        </w:rPr>
        <w:t xml:space="preserve">Donde sí hay duplicación evitable es en la capa de orquestación de interfaz alrededor de ese motor:</w:t>
      </w:r>
    </w:p>
    <w:p>
      <w:pPr>
        <w:pStyle w:val="ListParagraph"/>
        <w:numPr>
          <w:ilvl w:val="0"/>
          <w:numId w:val="2"/>
        </w:numPr>
        <w:spacing w:after="100" w:line="270"/>
      </w:pPr>
      <w:r>
        <w:rPr>
          <w:rFonts w:ascii="Calibri" w:cs="Calibri" w:eastAsia="Calibri" w:hAnsi="Calibri"/>
          <w:sz w:val="22"/>
          <w:szCs w:val="22"/>
        </w:rPr>
        <w:t xml:space="preserve">El arranque de sesión (fetch a /api/me, pintar el usuario, botón de logout) está repetido de forma prácticamente idéntica en los 17 archivos HTML.</w:t>
      </w:r>
    </w:p>
    <w:p>
      <w:pPr>
        <w:pStyle w:val="ListParagraph"/>
        <w:numPr>
          <w:ilvl w:val="0"/>
          <w:numId w:val="2"/>
        </w:numPr>
        <w:spacing w:after="100" w:line="270"/>
      </w:pPr>
      <w:r>
        <w:rPr>
          <w:rFonts w:ascii="Calibri" w:cs="Calibri" w:eastAsia="Calibri" w:hAnsi="Calibri"/>
          <w:sz w:val="22"/>
          <w:szCs w:val="22"/>
        </w:rPr>
        <w:t xml:space="preserve">Al menos 11 funciones (parseMoneyValue, escapeHtml, animateTitle, perfilFiscalDelNit, etc.) están definidas por separado en escanear.html y masivo.html con el mismo nombre y, en varios casos, el mismo cuerpo.</w:t>
      </w:r>
    </w:p>
    <w:p>
      <w:pPr>
        <w:pStyle w:val="ListParagraph"/>
        <w:numPr>
          <w:ilvl w:val="0"/>
          <w:numId w:val="2"/>
        </w:numPr>
        <w:spacing w:after="100" w:line="270"/>
      </w:pPr>
      <w:r>
        <w:rPr>
          <w:rFonts w:ascii="Calibri" w:cs="Calibri" w:eastAsia="Calibri" w:hAnsi="Calibri"/>
          <w:sz w:val="22"/>
          <w:szCs w:val="22"/>
        </w:rPr>
        <w:t xml:space="preserve">El flujo de "guardar factura" está reimplementado tres veces con nombres distintos (guardarFactura, guardarUnaFactura, guardarFacturaIndividual) en vez de apoyarse en una función común.</w:t>
      </w:r>
    </w:p>
    <w:p>
      <w:pPr>
        <w:spacing w:after="160" w:line="276"/>
      </w:pPr>
      <w:r>
        <w:rPr>
          <w:rFonts w:ascii="Calibri" w:cs="Calibri" w:eastAsia="Calibri" w:hAnsi="Calibri"/>
          <w:sz w:val="22"/>
          <w:szCs w:val="22"/>
        </w:rPr>
        <w:t xml:space="preserve">En síntesis: el cálculo está bien centralizado; el "pegamento" de interfaz se mantiene por separado en archivos de 2.500 a 3.250 líneas cada uno -- justo el tipo de duplicación costosa cuando hay que corregir un bug de interfaz en las tres pantallas a la vez.</w:t>
      </w:r>
    </w:p>
    <w:p>
      <w:pPr>
        <w:pStyle w:val="Heading2"/>
        <w:spacing w:after="140" w:before="320"/>
      </w:pPr>
      <w:r>
        <w:t xml:space="preserve">2.6 Calidad de los tests</w:t>
      </w:r>
    </w:p>
    <w:p>
      <w:pPr>
        <w:spacing w:after="160" w:line="276"/>
      </w:pPr>
      <w:r>
        <w:rPr>
          <w:rFonts w:ascii="Calibri" w:cs="Calibri" w:eastAsia="Calibri" w:hAnsi="Calibri"/>
          <w:sz w:val="22"/>
          <w:szCs w:val="22"/>
        </w:rPr>
        <w:t xml:space="preserve">npm test corre 54 pruebas, todas pasando, enfocadas en el motor fiscal y el motor de asientos contables (declarante/no declarante, AIU, acumulado anual de honorarios, exenciones de ReteIVA, umbral de ReteICA, cuadre de asientos). Lo que no tiene ningún test:</w:t>
      </w:r>
    </w:p>
    <w:p>
      <w:pPr>
        <w:pStyle w:val="ListParagraph"/>
        <w:numPr>
          <w:ilvl w:val="0"/>
          <w:numId w:val="2"/>
        </w:numPr>
        <w:spacing w:after="100" w:line="270"/>
      </w:pPr>
      <w:r>
        <w:rPr>
          <w:rFonts w:ascii="Calibri" w:cs="Calibri" w:eastAsia="Calibri" w:hAnsi="Calibri"/>
          <w:sz w:val="22"/>
          <w:szCs w:val="22"/>
        </w:rPr>
        <w:t xml:space="preserve">Las 69 rutas de server.js -- ningún test de integración HTTP; no hay forma automatizada de detectar una regresión en el flujo de guardado, aprobación, cartera o integraciones.</w:t>
      </w:r>
    </w:p>
    <w:p>
      <w:pPr>
        <w:pStyle w:val="ListParagraph"/>
        <w:numPr>
          <w:ilvl w:val="0"/>
          <w:numId w:val="2"/>
        </w:numPr>
        <w:spacing w:after="100" w:line="270"/>
      </w:pPr>
      <w:r>
        <w:rPr>
          <w:rFonts w:ascii="Calibri" w:cs="Calibri" w:eastAsia="Calibri" w:hAnsi="Calibri"/>
          <w:sz w:val="22"/>
          <w:szCs w:val="22"/>
        </w:rPr>
        <w:t xml:space="preserve">La lógica de permisos y multi-tenancy (requireAuth, requireRole, puedeAccederCliente) -- es la pieza más sensible del sistema y no tiene un solo test automatizado que garantice que un refactor futuro no abra una fuga entre firmas.</w:t>
      </w:r>
    </w:p>
    <w:p>
      <w:pPr>
        <w:pStyle w:val="ListParagraph"/>
        <w:numPr>
          <w:ilvl w:val="0"/>
          <w:numId w:val="2"/>
        </w:numPr>
        <w:spacing w:after="100" w:line="270"/>
      </w:pPr>
      <w:r>
        <w:rPr>
          <w:rFonts w:ascii="Calibri" w:cs="Calibri" w:eastAsia="Calibri" w:hAnsi="Calibri"/>
          <w:sz w:val="22"/>
          <w:szCs w:val="22"/>
        </w:rPr>
        <w:t xml:space="preserve">El cifrado AES-256-GCM de integraciones.js, la cola de lotes, la conciliación bancaria, y todo el JavaScript de interfaz.</w:t>
      </w:r>
    </w:p>
    <w:p>
      <w:pPr>
        <w:pStyle w:val="Heading2"/>
        <w:spacing w:after="140" w:before="320"/>
      </w:pPr>
      <w:r>
        <w:t xml:space="preserve">2.7 Deuda técnica y riesgos de escalabilidad</w:t>
      </w:r>
    </w:p>
    <w:p>
      <w:pPr>
        <w:pStyle w:val="ListParagraph"/>
        <w:numPr>
          <w:ilvl w:val="0"/>
          <w:numId w:val="2"/>
        </w:numPr>
        <w:spacing w:after="100" w:line="270"/>
      </w:pPr>
      <w:r>
        <w:rPr>
          <w:rFonts w:ascii="Calibri" w:cs="Calibri" w:eastAsia="Calibri" w:hAnsi="Calibri"/>
          <w:b/>
          <w:bCs/>
          <w:sz w:val="22"/>
          <w:szCs w:val="22"/>
        </w:rPr>
        <w:t xml:space="preserve">Listado de facturas sin paginar: </w:t>
      </w:r>
      <w:r>
        <w:rPr>
          <w:rFonts w:ascii="Calibri" w:cs="Calibri" w:eastAsia="Calibri" w:hAnsi="Calibri"/>
          <w:sz w:val="22"/>
          <w:szCs w:val="22"/>
        </w:rPr>
        <w:t xml:space="preserve">trae todo el historial de la firma en una sola respuesta, incluyendo el documento original en base64 dentro de cada fila -- hoy no se nota, pero cada factura nueva que se guarda hace la pantalla un poco más lenta para siempre. El filtro por mes se aplica en JavaScript después de traer todo, no en SQL.</w:t>
      </w:r>
    </w:p>
    <w:p>
      <w:pPr>
        <w:pStyle w:val="ListParagraph"/>
        <w:numPr>
          <w:ilvl w:val="0"/>
          <w:numId w:val="2"/>
        </w:numPr>
        <w:spacing w:after="100" w:line="270"/>
      </w:pPr>
      <w:r>
        <w:rPr>
          <w:rFonts w:ascii="Calibri" w:cs="Calibri" w:eastAsia="Calibri" w:hAnsi="Calibri"/>
          <w:b/>
          <w:bCs/>
          <w:sz w:val="22"/>
          <w:szCs w:val="22"/>
        </w:rPr>
        <w:t xml:space="preserve">Arranque que no falla duro si la base de datos no conecta: </w:t>
      </w:r>
      <w:r>
        <w:rPr>
          <w:rFonts w:ascii="Calibri" w:cs="Calibri" w:eastAsia="Calibri" w:hAnsi="Calibri"/>
          <w:sz w:val="22"/>
          <w:szCs w:val="22"/>
        </w:rPr>
        <w:t xml:space="preserve">si la conexión falla al iniciar, el error solo se registra en el log y el servidor igual abre el puerto -- Render reportaría el despliegue como exitoso mientras cada petición real devuelve error 500.</w:t>
      </w:r>
    </w:p>
    <w:p>
      <w:pPr>
        <w:pStyle w:val="ListParagraph"/>
        <w:numPr>
          <w:ilvl w:val="0"/>
          <w:numId w:val="2"/>
        </w:numPr>
        <w:spacing w:after="100" w:line="270"/>
      </w:pPr>
      <w:r>
        <w:rPr>
          <w:rFonts w:ascii="Calibri" w:cs="Calibri" w:eastAsia="Calibri" w:hAnsi="Calibri"/>
          <w:b/>
          <w:bCs/>
          <w:sz w:val="22"/>
          <w:szCs w:val="22"/>
        </w:rPr>
        <w:t xml:space="preserve">Sin logging estructurado ni alertas: </w:t>
      </w:r>
      <w:r>
        <w:rPr>
          <w:rFonts w:ascii="Calibri" w:cs="Calibri" w:eastAsia="Calibri" w:hAnsi="Calibri"/>
          <w:sz w:val="22"/>
          <w:szCs w:val="22"/>
        </w:rPr>
        <w:t xml:space="preserve">96 llamadas sueltas a console.log/error repartidas en el código, sin un logger (Pino/Winston) ni un servicio de errores (Sentry) -- hoy depende de que alguien revise el panel de Render a tiempo.</w:t>
      </w:r>
    </w:p>
    <w:p>
      <w:pPr>
        <w:pStyle w:val="ListParagraph"/>
        <w:numPr>
          <w:ilvl w:val="0"/>
          <w:numId w:val="2"/>
        </w:numPr>
        <w:spacing w:after="100" w:line="270"/>
      </w:pPr>
      <w:r>
        <w:rPr>
          <w:rFonts w:ascii="Calibri" w:cs="Calibri" w:eastAsia="Calibri" w:hAnsi="Calibri"/>
          <w:b/>
          <w:bCs/>
          <w:sz w:val="22"/>
          <w:szCs w:val="22"/>
        </w:rPr>
        <w:t xml:space="preserve">Limitador de tasa y cola de lotes en memoria de un solo proceso: </w:t>
      </w:r>
      <w:r>
        <w:rPr>
          <w:rFonts w:ascii="Calibri" w:cs="Calibri" w:eastAsia="Calibri" w:hAnsi="Calibri"/>
          <w:sz w:val="22"/>
          <w:szCs w:val="22"/>
        </w:rPr>
        <w:t xml:space="preserve">reconocido en el propio código como deuda aceptada -- funciona con una sola instancia de Render, pero sería un bloqueador real el día que haga falta escalar a varias instancias en paralelo.</w:t>
      </w:r>
    </w:p>
    <w:p>
      <w:pPr>
        <w:pStyle w:val="ListParagraph"/>
        <w:numPr>
          <w:ilvl w:val="0"/>
          <w:numId w:val="2"/>
        </w:numPr>
        <w:spacing w:after="100" w:line="270"/>
      </w:pPr>
      <w:r>
        <w:rPr>
          <w:rFonts w:ascii="Calibri" w:cs="Calibri" w:eastAsia="Calibri" w:hAnsi="Calibri"/>
          <w:b/>
          <w:bCs/>
          <w:sz w:val="22"/>
          <w:szCs w:val="22"/>
        </w:rPr>
        <w:t xml:space="preserve">Buena práctica a destacar: </w:t>
      </w:r>
      <w:r>
        <w:rPr>
          <w:rFonts w:ascii="Calibri" w:cs="Calibri" w:eastAsia="Calibri" w:hAnsi="Calibri"/>
          <w:sz w:val="22"/>
          <w:szCs w:val="22"/>
        </w:rPr>
        <w:t xml:space="preserve">pese a ser SQL crudo sin ORM, no se encontró riesgo de inyección SQL en ningún punto -- toda consulta parametriza los valores, y las columnas dinámicas siempre vienen de listas fijas en el código, nunca directo del cuerpo de la petición.</w:t>
      </w:r>
    </w:p>
    <w:p>
      <w:pPr>
        <w:pStyle w:val="Heading3"/>
        <w:spacing w:after="100" w:before="220"/>
      </w:pPr>
      <w:r>
        <w:t xml:space="preserve">Riesgos priorizados (arquitectura)</w:t>
      </w:r>
    </w:p>
    <w:p>
      <w:pPr>
        <w:pStyle w:val="ListParagraph"/>
        <w:numPr>
          <w:ilvl w:val="0"/>
          <w:numId w:val="2"/>
        </w:numPr>
        <w:spacing w:after="100" w:line="270"/>
      </w:pPr>
      <w:r>
        <w:rPr>
          <w:rFonts w:ascii="Calibri" w:cs="Calibri" w:eastAsia="Calibri" w:hAnsi="Calibri"/>
          <w:sz w:val="22"/>
          <w:szCs w:val="22"/>
        </w:rPr>
        <w:t xml:space="preserve">1. Listado de facturas sin paginar ni proyección -- el más seguro de materializarse con el crecimiento del negocio, y el más barato de arreglar.</w:t>
      </w:r>
    </w:p>
    <w:p>
      <w:pPr>
        <w:pStyle w:val="ListParagraph"/>
        <w:numPr>
          <w:ilvl w:val="0"/>
          <w:numId w:val="2"/>
        </w:numPr>
        <w:spacing w:after="100" w:line="270"/>
      </w:pPr>
      <w:r>
        <w:rPr>
          <w:rFonts w:ascii="Calibri" w:cs="Calibri" w:eastAsia="Calibri" w:hAnsi="Calibri"/>
          <w:sz w:val="22"/>
          <w:szCs w:val="22"/>
        </w:rPr>
        <w:t xml:space="preserve">2. Arranque que no falla duro ante una base de datos caída.</w:t>
      </w:r>
    </w:p>
    <w:p>
      <w:pPr>
        <w:pStyle w:val="ListParagraph"/>
        <w:numPr>
          <w:ilvl w:val="0"/>
          <w:numId w:val="2"/>
        </w:numPr>
        <w:spacing w:after="100" w:line="270"/>
      </w:pPr>
      <w:r>
        <w:rPr>
          <w:rFonts w:ascii="Calibri" w:cs="Calibri" w:eastAsia="Calibri" w:hAnsi="Calibri"/>
          <w:sz w:val="22"/>
          <w:szCs w:val="22"/>
        </w:rPr>
        <w:t xml:space="preserve">3. Cero tests automatizados de autorización/multi-tenancy.</w:t>
      </w:r>
    </w:p>
    <w:p>
      <w:pPr>
        <w:pStyle w:val="ListParagraph"/>
        <w:numPr>
          <w:ilvl w:val="0"/>
          <w:numId w:val="2"/>
        </w:numPr>
        <w:spacing w:after="100" w:line="270"/>
      </w:pPr>
      <w:r>
        <w:rPr>
          <w:rFonts w:ascii="Calibri" w:cs="Calibri" w:eastAsia="Calibri" w:hAnsi="Calibri"/>
          <w:sz w:val="22"/>
          <w:szCs w:val="22"/>
        </w:rPr>
        <w:t xml:space="preserve">4. Rate-limiter y cola de lotes en memoria -- bloqueador para escalar a varias instancias.</w:t>
      </w:r>
    </w:p>
    <w:p>
      <w:pPr>
        <w:pStyle w:val="ListParagraph"/>
        <w:numPr>
          <w:ilvl w:val="0"/>
          <w:numId w:val="2"/>
        </w:numPr>
        <w:spacing w:after="100" w:line="270"/>
      </w:pPr>
      <w:r>
        <w:rPr>
          <w:rFonts w:ascii="Calibri" w:cs="Calibri" w:eastAsia="Calibri" w:hAnsi="Calibri"/>
          <w:sz w:val="22"/>
          <w:szCs w:val="22"/>
        </w:rPr>
        <w:t xml:space="preserve">5. Duplicación de interfaz entre escanear/masivo/revisión.</w:t>
      </w:r>
    </w:p>
    <w:p>
      <w:pPr>
        <w:pStyle w:val="ListParagraph"/>
        <w:numPr>
          <w:ilvl w:val="0"/>
          <w:numId w:val="2"/>
        </w:numPr>
        <w:spacing w:after="100" w:line="270"/>
      </w:pPr>
      <w:r>
        <w:rPr>
          <w:rFonts w:ascii="Calibri" w:cs="Calibri" w:eastAsia="Calibri" w:hAnsi="Calibri"/>
          <w:sz w:val="22"/>
          <w:szCs w:val="22"/>
        </w:rPr>
        <w:t xml:space="preserve">6. Valores monetarios como texto -- limita la reportería pesada a futuro.</w:t>
      </w:r>
    </w:p>
    <w:p>
      <w:r>
        <w:br w:type="page"/>
      </w:r>
    </w:p>
    <w:p>
      <w:pPr>
        <w:pStyle w:val="Heading1"/>
        <w:spacing w:after="200" w:before="420"/>
      </w:pPr>
      <w:r>
        <w:t xml:space="preserve">3. Auditoría de seguridad (mentalidad de atacante)</w:t>
      </w:r>
    </w:p>
    <w:p>
      <w:pPr>
        <w:spacing w:after="160" w:line="276"/>
      </w:pPr>
      <w:r>
        <w:rPr>
          <w:rFonts w:ascii="Calibri" w:cs="Calibri" w:eastAsia="Calibri" w:hAnsi="Calibri"/>
          <w:sz w:val="22"/>
          <w:szCs w:val="22"/>
        </w:rPr>
        <w:t xml:space="preserve">Metodología: análisis estático completo del backend y frontend, más npm audit. Se revisaron las 69 rutas de la API y las ~30 rutas con parámetros de identificador (:id, :clienteId, :proveedor...). No se intentó ningún ataque contra el sistema en producción -- esto es análisis de código, no una prueba de penetración en vivo.</w:t>
      </w:r>
    </w:p>
    <w:p>
      <w:pPr>
        <w:pStyle w:val="Heading2"/>
        <w:spacing w:after="140" w:before="320"/>
      </w:pPr>
      <w:r>
        <w:t xml:space="preserve">3.1 Hallazgos por severidad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960"/>
      </w:tblGrid>
      <w:tr>
        <w:trPr>
          <w:tblHeader/>
        </w:trPr>
        <w:tc>
          <w:tcPr>
            <w:tcW w:type="dxa" w:w="1500"/>
            <w:shd w:fill="E8ECEE" w:val="clear"/>
            <w:tcMar>
              <w:top w:type="dxa" w:w="90"/>
              <w:left w:type="dxa" w:w="110"/>
              <w:bottom w:type="dxa" w:w="90"/>
              <w:right w:type="dxa" w:w="110"/>
            </w:tcMar>
            <w:vAlign w:val="center"/>
          </w:tcPr>
          <w:p>
            <w:pPr>
              <w:jc w:val="left"/>
            </w:pPr>
            <w:r>
              <w:rPr>
                <w:rFonts w:ascii="Calibri" w:cs="Calibri" w:eastAsia="Calibri" w:hAnsi="Calibri"/>
                <w:b/>
                <w:bCs/>
                <w:sz w:val="20"/>
                <w:szCs w:val="20"/>
              </w:rPr>
              <w:t xml:space="preserve">Severidad</w:t>
            </w:r>
          </w:p>
        </w:tc>
        <w:tc>
          <w:tcPr>
            <w:tcW w:type="dxa" w:w="1900"/>
            <w:shd w:fill="E8ECEE" w:val="clear"/>
            <w:tcMar>
              <w:top w:type="dxa" w:w="90"/>
              <w:left w:type="dxa" w:w="110"/>
              <w:bottom w:type="dxa" w:w="90"/>
              <w:right w:type="dxa" w:w="110"/>
            </w:tcMar>
            <w:vAlign w:val="center"/>
          </w:tcPr>
          <w:p>
            <w:pPr>
              <w:jc w:val="left"/>
            </w:pPr>
            <w:r>
              <w:rPr>
                <w:rFonts w:ascii="Calibri" w:cs="Calibri" w:eastAsia="Calibri" w:hAnsi="Calibri"/>
                <w:b/>
                <w:bCs/>
                <w:sz w:val="20"/>
                <w:szCs w:val="20"/>
              </w:rPr>
              <w:t xml:space="preserve">Área</w:t>
            </w:r>
          </w:p>
        </w:tc>
        <w:tc>
          <w:tcPr>
            <w:tcW w:type="dxa" w:w="5960"/>
            <w:shd w:fill="E8ECEE" w:val="clear"/>
            <w:tcMar>
              <w:top w:type="dxa" w:w="90"/>
              <w:left w:type="dxa" w:w="110"/>
              <w:bottom w:type="dxa" w:w="90"/>
              <w:right w:type="dxa" w:w="110"/>
            </w:tcMar>
            <w:vAlign w:val="center"/>
          </w:tcPr>
          <w:p>
            <w:pPr>
              <w:jc w:val="left"/>
            </w:pPr>
            <w:r>
              <w:rPr>
                <w:rFonts w:ascii="Calibri" w:cs="Calibri" w:eastAsia="Calibri" w:hAnsi="Calibri"/>
                <w:b/>
                <w:bCs/>
                <w:sz w:val="20"/>
                <w:szCs w:val="20"/>
              </w:rPr>
              <w:t xml:space="preserve">Hallazgo</w:t>
            </w:r>
          </w:p>
        </w:tc>
      </w:tr>
      <w:tr>
        <w:tc>
          <w:tcPr>
            <w:tcW w:type="dxa" w:w="1500"/>
            <w:shd w:fill="F7E0DC" w:val="clear"/>
            <w:tcMar>
              <w:top w:type="dxa" w:w="90"/>
              <w:left w:type="dxa" w:w="110"/>
              <w:bottom w:type="dxa" w:w="90"/>
              <w:right w:type="dxa" w:w="110"/>
            </w:tcMar>
            <w:vAlign w:val="center"/>
          </w:tcPr>
          <w:p>
            <w:pPr>
              <w:jc w:val="left"/>
            </w:pPr>
            <w:r>
              <w:rPr>
                <w:rFonts w:ascii="Calibri" w:cs="Calibri" w:eastAsia="Calibri" w:hAnsi="Calibri"/>
                <w:b/>
                <w:bCs/>
                <w:color w:val="C0392B"/>
                <w:sz w:val="18"/>
                <w:szCs w:val="18"/>
              </w:rPr>
              <w:t xml:space="preserve">ALTO</w:t>
            </w:r>
          </w:p>
        </w:tc>
        <w:tc>
          <w:tcPr>
            <w:tcW w:type="dxa" w:w="190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Costo / IA</w:t>
            </w:r>
          </w:p>
        </w:tc>
        <w:tc>
          <w:tcPr>
            <w:tcW w:type="dxa" w:w="596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POST /api/lotes no aplica el limitador de llamadas a Gemini (limitadorIA) -- permite disparar hasta ~60.000 llamadas/15min por IP vía Carga masiva, sin tope por firma.</w:t>
            </w:r>
          </w:p>
        </w:tc>
      </w:tr>
      <w:tr>
        <w:tc>
          <w:tcPr>
            <w:tcW w:type="dxa" w:w="1500"/>
            <w:shd w:fill="FBEBD9" w:val="clear"/>
            <w:tcMar>
              <w:top w:type="dxa" w:w="90"/>
              <w:left w:type="dxa" w:w="110"/>
              <w:bottom w:type="dxa" w:w="90"/>
              <w:right w:type="dxa" w:w="110"/>
            </w:tcMar>
            <w:vAlign w:val="center"/>
          </w:tcPr>
          <w:p>
            <w:pPr>
              <w:jc w:val="left"/>
            </w:pPr>
            <w:r>
              <w:rPr>
                <w:rFonts w:ascii="Calibri" w:cs="Calibri" w:eastAsia="Calibri" w:hAnsi="Calibri"/>
                <w:b/>
                <w:bCs/>
                <w:color w:val="D9822B"/>
                <w:sz w:val="18"/>
                <w:szCs w:val="18"/>
              </w:rPr>
              <w:t xml:space="preserve">ALTO/MEDIO</w:t>
            </w:r>
          </w:p>
        </w:tc>
        <w:tc>
          <w:tcPr>
            <w:tcW w:type="dxa" w:w="190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Integridad contable</w:t>
            </w:r>
          </w:p>
        </w:tc>
        <w:tc>
          <w:tcPr>
            <w:tcW w:type="dxa" w:w="596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Una factura o sus ítems se pueden editar vía PUT /api/invoices/:id después de aprobada (aprobado_por_contador=true), sin bloqueo y sin ninguna tabla de auditoría que registre el cambio.</w:t>
            </w:r>
          </w:p>
        </w:tc>
      </w:tr>
      <w:tr>
        <w:tc>
          <w:tcPr>
            <w:tcW w:type="dxa" w:w="1500"/>
            <w:shd w:fill="FBEBD9" w:val="clear"/>
            <w:tcMar>
              <w:top w:type="dxa" w:w="90"/>
              <w:left w:type="dxa" w:w="110"/>
              <w:bottom w:type="dxa" w:w="90"/>
              <w:right w:type="dxa" w:w="110"/>
            </w:tcMar>
            <w:vAlign w:val="center"/>
          </w:tcPr>
          <w:p>
            <w:pPr>
              <w:jc w:val="left"/>
            </w:pPr>
            <w:r>
              <w:rPr>
                <w:rFonts w:ascii="Calibri" w:cs="Calibri" w:eastAsia="Calibri" w:hAnsi="Calibri"/>
                <w:b/>
                <w:bCs/>
                <w:color w:val="D9822B"/>
                <w:sz w:val="18"/>
                <w:szCs w:val="18"/>
              </w:rPr>
              <w:t xml:space="preserve">MEDIO</w:t>
            </w:r>
          </w:p>
        </w:tc>
        <w:tc>
          <w:tcPr>
            <w:tcW w:type="dxa" w:w="190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Autenticación</w:t>
            </w:r>
          </w:p>
        </w:tc>
        <w:tc>
          <w:tcPr>
            <w:tcW w:type="dxa" w:w="596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El login con Google no valida email_verified antes de usar el correo para auto-unir al usuario a una firma vía invitación pendiente.</w:t>
            </w:r>
          </w:p>
        </w:tc>
      </w:tr>
      <w:tr>
        <w:tc>
          <w:tcPr>
            <w:tcW w:type="dxa" w:w="1500"/>
            <w:shd w:fill="FBEBD9" w:val="clear"/>
            <w:tcMar>
              <w:top w:type="dxa" w:w="90"/>
              <w:left w:type="dxa" w:w="110"/>
              <w:bottom w:type="dxa" w:w="90"/>
              <w:right w:type="dxa" w:w="110"/>
            </w:tcMar>
            <w:vAlign w:val="center"/>
          </w:tcPr>
          <w:p>
            <w:pPr>
              <w:jc w:val="left"/>
            </w:pPr>
            <w:r>
              <w:rPr>
                <w:rFonts w:ascii="Calibri" w:cs="Calibri" w:eastAsia="Calibri" w:hAnsi="Calibri"/>
                <w:b/>
                <w:bCs/>
                <w:color w:val="D9822B"/>
                <w:sz w:val="18"/>
                <w:szCs w:val="18"/>
              </w:rPr>
              <w:t xml:space="preserve">MEDIO</w:t>
            </w:r>
          </w:p>
        </w:tc>
        <w:tc>
          <w:tcPr>
            <w:tcW w:type="dxa" w:w="190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Sesión</w:t>
            </w:r>
          </w:p>
        </w:tc>
        <w:tc>
          <w:tcPr>
            <w:tcW w:type="dxa" w:w="596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El JWT de sesión (30 días) no se puede revocar del lado servidor al cerrar sesión -- logout solo borra la cookie local.</w:t>
            </w:r>
          </w:p>
        </w:tc>
      </w:tr>
      <w:tr>
        <w:tc>
          <w:tcPr>
            <w:tcW w:type="dxa" w:w="1500"/>
            <w:shd w:fill="FBEBD9" w:val="clear"/>
            <w:tcMar>
              <w:top w:type="dxa" w:w="90"/>
              <w:left w:type="dxa" w:w="110"/>
              <w:bottom w:type="dxa" w:w="90"/>
              <w:right w:type="dxa" w:w="110"/>
            </w:tcMar>
            <w:vAlign w:val="center"/>
          </w:tcPr>
          <w:p>
            <w:pPr>
              <w:jc w:val="left"/>
            </w:pPr>
            <w:r>
              <w:rPr>
                <w:rFonts w:ascii="Calibri" w:cs="Calibri" w:eastAsia="Calibri" w:hAnsi="Calibri"/>
                <w:b/>
                <w:bCs/>
                <w:color w:val="D9822B"/>
                <w:sz w:val="18"/>
                <w:szCs w:val="18"/>
              </w:rPr>
              <w:t xml:space="preserve">MEDIO</w:t>
            </w:r>
          </w:p>
        </w:tc>
        <w:tc>
          <w:tcPr>
            <w:tcW w:type="dxa" w:w="190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Carga de archivos</w:t>
            </w:r>
          </w:p>
        </w:tc>
        <w:tc>
          <w:tcPr>
            <w:tcW w:type="dxa" w:w="596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No se valida el tipo real de archivo (magic bytes) contra el mediaType declarado por el cliente, ni hay tope de tamaño por archivo individual (solo el límite global de 60MB por petición).</w:t>
            </w:r>
          </w:p>
        </w:tc>
      </w:tr>
      <w:tr>
        <w:tc>
          <w:tcPr>
            <w:tcW w:type="dxa" w:w="1500"/>
            <w:shd w:fill="FBEBD9" w:val="clear"/>
            <w:tcMar>
              <w:top w:type="dxa" w:w="90"/>
              <w:left w:type="dxa" w:w="110"/>
              <w:bottom w:type="dxa" w:w="90"/>
              <w:right w:type="dxa" w:w="110"/>
            </w:tcMar>
            <w:vAlign w:val="center"/>
          </w:tcPr>
          <w:p>
            <w:pPr>
              <w:jc w:val="left"/>
            </w:pPr>
            <w:r>
              <w:rPr>
                <w:rFonts w:ascii="Calibri" w:cs="Calibri" w:eastAsia="Calibri" w:hAnsi="Calibri"/>
                <w:b/>
                <w:bCs/>
                <w:color w:val="D9822B"/>
                <w:sz w:val="18"/>
                <w:szCs w:val="18"/>
              </w:rPr>
              <w:t xml:space="preserve">MEDIO</w:t>
            </w:r>
          </w:p>
        </w:tc>
        <w:tc>
          <w:tcPr>
            <w:tcW w:type="dxa" w:w="190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Dependencias</w:t>
            </w:r>
          </w:p>
        </w:tc>
        <w:tc>
          <w:tcPr>
            <w:tcW w:type="dxa" w:w="596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npm audit reporta 5 vulnerabilidades moderadas (qs vía body-parser/express; uuid vía gaxios/google-auth-library), todas con corrección disponible.</w:t>
            </w:r>
          </w:p>
        </w:tc>
      </w:tr>
      <w:tr>
        <w:tc>
          <w:tcPr>
            <w:tcW w:type="dxa" w:w="1500"/>
            <w:shd w:fill="E9F0E9" w:val="clear"/>
            <w:tcMar>
              <w:top w:type="dxa" w:w="90"/>
              <w:left w:type="dxa" w:w="110"/>
              <w:bottom w:type="dxa" w:w="90"/>
              <w:right w:type="dxa" w:w="110"/>
            </w:tcMar>
            <w:vAlign w:val="center"/>
          </w:tcPr>
          <w:p>
            <w:pPr>
              <w:jc w:val="left"/>
            </w:pPr>
            <w:r>
              <w:rPr>
                <w:rFonts w:ascii="Calibri" w:cs="Calibri" w:eastAsia="Calibri" w:hAnsi="Calibri"/>
                <w:b/>
                <w:bCs/>
                <w:color w:val="6B8E6B"/>
                <w:sz w:val="18"/>
                <w:szCs w:val="18"/>
              </w:rPr>
              <w:t xml:space="preserve">BAJO</w:t>
            </w:r>
          </w:p>
        </w:tc>
        <w:tc>
          <w:tcPr>
            <w:tcW w:type="dxa" w:w="190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CSRF</w:t>
            </w:r>
          </w:p>
        </w:tc>
        <w:tc>
          <w:tcPr>
            <w:tcW w:type="dxa" w:w="596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Sin token CSRF explícito; mitigado razonablemente por cookie SameSite=lax + que las mutaciones nunca ocurren en GET.</w:t>
            </w:r>
          </w:p>
        </w:tc>
      </w:tr>
      <w:tr>
        <w:tc>
          <w:tcPr>
            <w:tcW w:type="dxa" w:w="1500"/>
            <w:shd w:fill="EAF0F2" w:val="clear"/>
            <w:tcMar>
              <w:top w:type="dxa" w:w="90"/>
              <w:left w:type="dxa" w:w="110"/>
              <w:bottom w:type="dxa" w:w="90"/>
              <w:right w:type="dxa" w:w="110"/>
            </w:tcMar>
            <w:vAlign w:val="center"/>
          </w:tcPr>
          <w:p>
            <w:pPr>
              <w:jc w:val="left"/>
            </w:pPr>
            <w:r>
              <w:rPr>
                <w:rFonts w:ascii="Calibri" w:cs="Calibri" w:eastAsia="Calibri" w:hAnsi="Calibri"/>
                <w:b/>
                <w:bCs/>
                <w:color w:val="8AA0AC"/>
                <w:sz w:val="18"/>
                <w:szCs w:val="18"/>
              </w:rPr>
              <w:t xml:space="preserve">INFORMATIVO</w:t>
            </w:r>
          </w:p>
        </w:tc>
        <w:tc>
          <w:tcPr>
            <w:tcW w:type="dxa" w:w="190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Exportes Excel</w:t>
            </w:r>
          </w:p>
        </w:tc>
        <w:tc>
          <w:tcPr>
            <w:tcW w:type="dxa" w:w="596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Campos de factura (nombre, concepto) se escriben sin neutralizar un posible "=" inicial en los .xlsx exportados -- no explotable hoy (ExcelJS no lo trata como fórmula), pero sería riesgo real si se agrega exportación a CSV plano.</w:t>
            </w:r>
          </w:p>
        </w:tc>
      </w:tr>
      <w:tr>
        <w:tc>
          <w:tcPr>
            <w:tcW w:type="dxa" w:w="1500"/>
            <w:shd w:fill="EAF0F2" w:val="clear"/>
            <w:tcMar>
              <w:top w:type="dxa" w:w="90"/>
              <w:left w:type="dxa" w:w="110"/>
              <w:bottom w:type="dxa" w:w="90"/>
              <w:right w:type="dxa" w:w="110"/>
            </w:tcMar>
            <w:vAlign w:val="center"/>
          </w:tcPr>
          <w:p>
            <w:pPr>
              <w:jc w:val="left"/>
            </w:pPr>
            <w:r>
              <w:rPr>
                <w:rFonts w:ascii="Calibri" w:cs="Calibri" w:eastAsia="Calibri" w:hAnsi="Calibri"/>
                <w:b/>
                <w:bCs/>
                <w:color w:val="8AA0AC"/>
                <w:sz w:val="18"/>
                <w:szCs w:val="18"/>
              </w:rPr>
              <w:t xml:space="preserve">INFORMATIVO</w:t>
            </w:r>
          </w:p>
        </w:tc>
        <w:tc>
          <w:tcPr>
            <w:tcW w:type="dxa" w:w="190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IA / Prompt injection</w:t>
            </w:r>
          </w:p>
        </w:tc>
        <w:tc>
          <w:tcPr>
            <w:tcW w:type="dxa" w:w="596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El contenido de un documento adversarial podría intentar manipular la extracción de Gemini -- mitigado porque el flujo exige revisión/aprobación humana antes de dar nada por firme.</w:t>
            </w:r>
          </w:p>
        </w:tc>
      </w:tr>
    </w:tbl>
    <w:p>
      <w:pPr>
        <w:spacing w:after="160" w:line="276"/>
      </w:pPr>
      <w:r>
        <w:rPr>
          <w:rFonts w:ascii="Calibri" w:cs="Calibri" w:eastAsia="Calibri" w:hAnsi="Calibri"/>
          <w:sz w:val="22"/>
          <w:szCs w:val="22"/>
        </w:rPr>
        <w:t xml:space="preserve"/>
      </w:r>
    </w:p>
    <w:p>
      <w:pPr>
        <w:pStyle w:val="Heading2"/>
        <w:spacing w:after="140" w:before="320"/>
      </w:pPr>
      <w:r>
        <w:t xml:space="preserve">3.2 Detalle de los hallazgos</w:t>
      </w:r>
    </w:p>
    <w:p>
      <w:pPr>
        <w:pStyle w:val="Heading3"/>
        <w:spacing w:after="100" w:before="220"/>
      </w:pPr>
      <w:r>
        <w:t xml:space="preserve">🔴 Alto — Bypass del límite de gasto de IA vía Carga masiva</w:t>
      </w:r>
    </w:p>
    <w:p>
      <w:pPr>
        <w:spacing w:after="160" w:line="276"/>
      </w:pPr>
      <w:r>
        <w:rPr>
          <w:rFonts w:ascii="Calibri" w:cs="Calibri" w:eastAsia="Calibri" w:hAnsi="Calibri"/>
          <w:sz w:val="22"/>
          <w:szCs w:val="22"/>
        </w:rPr>
        <w:t xml:space="preserve">El limitador de llamadas a Gemini (60 por 15 minutos, por firma) está bien aplicado en todas las rutas que llaman a la IA directamente dentro de la petición HTTP (extracción de facturas, RUT, PUC por IA, lectura de extractos, soporte). Pero la ruta que crea un lote de Carga masiva no aplica ese limitador -- solo valida sesión. Acepta hasta 100 archivos por llamada, y el procesamiento real ocurre en un proceso de fondo que nunca pasa por el limitador.</w:t>
      </w:r>
    </w:p>
    <w:p>
      <w:pPr>
        <w:spacing w:after="160" w:line="276"/>
      </w:pPr>
      <w:r>
        <w:rPr>
          <w:rFonts w:ascii="Calibri" w:cs="Calibri" w:eastAsia="Calibri" w:hAnsi="Calibri"/>
          <w:b/>
          <w:bCs/>
          <w:sz w:val="22"/>
          <w:szCs w:val="22"/>
        </w:rPr>
        <w:t xml:space="preserve">Cómo lo explotaría un atacante: </w:t>
      </w:r>
      <w:r>
        <w:rPr>
          <w:rFonts w:ascii="Calibri" w:cs="Calibri" w:eastAsia="Calibri" w:hAnsi="Calibri"/>
          <w:sz w:val="22"/>
          <w:szCs w:val="22"/>
        </w:rPr>
        <w:t xml:space="preserve">inicia sesión con cualquier rol que permita escribir (incluso el más bajo), llama repetidamente a la creación de lotes con 100 archivos cada vez -- el único freno que queda es el límite general de 600 peticiones/15min por IP, que permite hasta 60.000 llamadas reales a Gemini en ese lapso.</w:t>
      </w:r>
    </w:p>
    <w:p>
      <w:pPr>
        <w:spacing w:after="160" w:line="276"/>
      </w:pPr>
      <w:r>
        <w:rPr>
          <w:rFonts w:ascii="Calibri" w:cs="Calibri" w:eastAsia="Calibri" w:hAnsi="Calibri"/>
          <w:b/>
          <w:bCs/>
          <w:sz w:val="22"/>
          <w:szCs w:val="22"/>
        </w:rPr>
        <w:t xml:space="preserve">Impacto: </w:t>
      </w:r>
      <w:r>
        <w:rPr>
          <w:rFonts w:ascii="Calibri" w:cs="Calibri" w:eastAsia="Calibri" w:hAnsi="Calibri"/>
          <w:sz w:val="22"/>
          <w:szCs w:val="22"/>
        </w:rPr>
        <w:t xml:space="preserve">el propio código documenta que el objetivo del limitador es "proteger el gasto" -- ese objetivo queda anulado por completo para Carga masiva. Es un vector directo de daño financiero (factura de la API de Gemini) explotable por cualquier usuario autenticado, sin necesidad de comprometer nada más.</w:t>
      </w:r>
    </w:p>
    <w:p>
      <w:pPr>
        <w:spacing w:after="160" w:line="276"/>
      </w:pPr>
      <w:r>
        <w:rPr>
          <w:rFonts w:ascii="Calibri" w:cs="Calibri" w:eastAsia="Calibri" w:hAnsi="Calibri"/>
          <w:b/>
          <w:bCs/>
          <w:sz w:val="22"/>
          <w:szCs w:val="22"/>
        </w:rPr>
        <w:t xml:space="preserve">Arreglo: </w:t>
      </w:r>
      <w:r>
        <w:rPr>
          <w:rFonts w:ascii="Calibri" w:cs="Calibri" w:eastAsia="Calibri" w:hAnsi="Calibri"/>
          <w:sz w:val="22"/>
          <w:szCs w:val="22"/>
        </w:rPr>
        <w:t xml:space="preserve">aplicar el mismo limitador (o una variante que cuente archivos, no peticiones) a la creación de lotes, y/o contar el consumo real por firma dentro del procesador de fondo antes de llamar a Gemini en cada ítem, cortando la cola si la firma ya superó su cupo.</w:t>
      </w:r>
    </w:p>
    <w:p>
      <w:pPr>
        <w:pStyle w:val="Heading3"/>
        <w:spacing w:after="100" w:before="220"/>
      </w:pPr>
      <w:r>
        <w:t xml:space="preserve">🟠 Alto/Medio — Facturas aprobadas se pueden editar sin dejar rastro</w:t>
      </w:r>
    </w:p>
    <w:p>
      <w:pPr>
        <w:spacing w:after="160" w:line="276"/>
      </w:pPr>
      <w:r>
        <w:rPr>
          <w:rFonts w:ascii="Calibri" w:cs="Calibri" w:eastAsia="Calibri" w:hAnsi="Calibri"/>
          <w:sz w:val="22"/>
          <w:szCs w:val="22"/>
        </w:rPr>
        <w:t xml:space="preserve">Una factura y sus ítems se pueden modificar (incluyendo retención en la fuente, ReteIVA, ReteICA, IVA, fecha, categoría) sin comprobar en ningún momento si ya fue aprobada. No existe ninguna tabla de auditoría en todo el esquema -- lo único que se guarda es si está aprobada y cuándo, nunca quién cambió un valor después, ni cuál era el valor anterior.</w:t>
      </w:r>
    </w:p>
    <w:p>
      <w:pPr>
        <w:spacing w:after="160" w:line="276"/>
      </w:pPr>
      <w:r>
        <w:rPr>
          <w:rFonts w:ascii="Calibri" w:cs="Calibri" w:eastAsia="Calibri" w:hAnsi="Calibri"/>
          <w:b/>
          <w:bCs/>
          <w:sz w:val="22"/>
          <w:szCs w:val="22"/>
        </w:rPr>
        <w:t xml:space="preserve">Cómo lo explotaría un atacante (insider): </w:t>
      </w:r>
      <w:r>
        <w:rPr>
          <w:rFonts w:ascii="Calibri" w:cs="Calibri" w:eastAsia="Calibri" w:hAnsi="Calibri"/>
          <w:sz w:val="22"/>
          <w:szCs w:val="22"/>
        </w:rPr>
        <w:t xml:space="preserve">un usuario con permiso de escritura aprueba una factura de egreso y, días después, reduce silenciosamente sus valores de retención ya reportados/exportados, sin dejar ningún registro de que el cambio ocurrió.</w:t>
      </w:r>
    </w:p>
    <w:p>
      <w:pPr>
        <w:spacing w:after="160" w:line="276"/>
      </w:pPr>
      <w:r>
        <w:rPr>
          <w:rFonts w:ascii="Calibri" w:cs="Calibri" w:eastAsia="Calibri" w:hAnsi="Calibri"/>
          <w:b/>
          <w:bCs/>
          <w:sz w:val="22"/>
          <w:szCs w:val="22"/>
        </w:rPr>
        <w:t xml:space="preserve">Impacto: </w:t>
      </w:r>
      <w:r>
        <w:rPr>
          <w:rFonts w:ascii="Calibri" w:cs="Calibri" w:eastAsia="Calibri" w:hAnsi="Calibri"/>
          <w:sz w:val="22"/>
          <w:szCs w:val="22"/>
        </w:rPr>
        <w:t xml:space="preserve">integridad de la información fiscal/contable después del punto que el negocio asume como definitivo -- relevante tanto para fraude interno como para sustentar cifras ante la DIAN.</w:t>
      </w:r>
    </w:p>
    <w:p>
      <w:pPr>
        <w:spacing w:after="160" w:line="276"/>
      </w:pPr>
      <w:r>
        <w:rPr>
          <w:rFonts w:ascii="Calibri" w:cs="Calibri" w:eastAsia="Calibri" w:hAnsi="Calibri"/>
          <w:b/>
          <w:bCs/>
          <w:sz w:val="22"/>
          <w:szCs w:val="22"/>
        </w:rPr>
        <w:t xml:space="preserve">Arreglo: </w:t>
      </w:r>
      <w:r>
        <w:rPr>
          <w:rFonts w:ascii="Calibri" w:cs="Calibri" w:eastAsia="Calibri" w:hAnsi="Calibri"/>
          <w:sz w:val="22"/>
          <w:szCs w:val="22"/>
        </w:rPr>
        <w:t xml:space="preserve">bloquear la edición de una factura/sus ítems una vez aprobada, exigiendo una reversión explícita y auditada antes de reeditar, y agregar una tabla mínima de auditoría (quién, qué campo, valor anterior, valor nuevo, cuándo).</w:t>
      </w:r>
    </w:p>
    <w:p>
      <w:pPr>
        <w:pStyle w:val="Heading3"/>
        <w:spacing w:after="100" w:before="220"/>
      </w:pPr>
      <w:r>
        <w:t xml:space="preserve">🟡 Medio — email_verified de Google no se valida en el login</w:t>
      </w:r>
    </w:p>
    <w:p>
      <w:pPr>
        <w:spacing w:after="160" w:line="276"/>
      </w:pPr>
      <w:r>
        <w:rPr>
          <w:rFonts w:ascii="Calibri" w:cs="Calibri" w:eastAsia="Calibri" w:hAnsi="Calibri"/>
          <w:sz w:val="22"/>
          <w:szCs w:val="22"/>
        </w:rPr>
        <w:t xml:space="preserve">El correo que llega de Google se usa directamente para revisar la lista blanca y para auto-unir a un usuario nuevo a una firma vía invitación pendiente (heredando el rol asignado), sin comprobar que Google haya marcado ese correo como verificado. En casos de borde documentados por Google (dominios mal configurados, federación SAML) el campo email puede llegar sin verificar.</w:t>
      </w:r>
    </w:p>
    <w:p>
      <w:pPr>
        <w:spacing w:after="160" w:line="276"/>
      </w:pPr>
      <w:r>
        <w:rPr>
          <w:rFonts w:ascii="Calibri" w:cs="Calibri" w:eastAsia="Calibri" w:hAnsi="Calibri"/>
          <w:b/>
          <w:bCs/>
          <w:sz w:val="22"/>
          <w:szCs w:val="22"/>
        </w:rPr>
        <w:t xml:space="preserve">Arreglo: </w:t>
      </w:r>
      <w:r>
        <w:rPr>
          <w:rFonts w:ascii="Calibri" w:cs="Calibri" w:eastAsia="Calibri" w:hAnsi="Calibri"/>
          <w:sz w:val="22"/>
          <w:szCs w:val="22"/>
        </w:rPr>
        <w:t xml:space="preserve">rechazar el login si email_verified no es true.</w:t>
      </w:r>
    </w:p>
    <w:p>
      <w:pPr>
        <w:pStyle w:val="Heading3"/>
        <w:spacing w:after="100" w:before="220"/>
      </w:pPr>
      <w:r>
        <w:t xml:space="preserve">🟡 Medio — El cierre de sesión no revoca el token</w:t>
      </w:r>
    </w:p>
    <w:p>
      <w:pPr>
        <w:spacing w:after="160" w:line="276"/>
      </w:pPr>
      <w:r>
        <w:rPr>
          <w:rFonts w:ascii="Calibri" w:cs="Calibri" w:eastAsia="Calibri" w:hAnsi="Calibri"/>
          <w:sz w:val="22"/>
          <w:szCs w:val="22"/>
        </w:rPr>
        <w:t xml:space="preserve">El JWT de sesión dura 30 días y cerrar sesión solo borra la cookie del navegador -- el token en sí sigue siendo válido si alguien ya tiene una copia (robo de cookie, dispositivo compartido). Mitigante real ya presente: el rol/firma se vuelven a consultar en cada petición, así que expulsar a alguien de la firma o cambiarle el rol sí tiene efecto inmediato; lo que queda abierto es solo el robo físico del token.</w:t>
      </w:r>
    </w:p>
    <w:p>
      <w:pPr>
        <w:spacing w:after="160" w:line="276"/>
      </w:pPr>
      <w:r>
        <w:rPr>
          <w:rFonts w:ascii="Calibri" w:cs="Calibri" w:eastAsia="Calibri" w:hAnsi="Calibri"/>
          <w:b/>
          <w:bCs/>
          <w:sz w:val="22"/>
          <w:szCs w:val="22"/>
        </w:rPr>
        <w:t xml:space="preserve">Arreglo: </w:t>
      </w:r>
      <w:r>
        <w:rPr>
          <w:rFonts w:ascii="Calibri" w:cs="Calibri" w:eastAsia="Calibri" w:hAnsi="Calibri"/>
          <w:sz w:val="22"/>
          <w:szCs w:val="22"/>
        </w:rPr>
        <w:t xml:space="preserve">agregar una versión de sesión en la base de datos y en el token, que se incremente al cerrar sesión o ante sospecha de robo, invalidando tokens previos.</w:t>
      </w:r>
    </w:p>
    <w:p>
      <w:pPr>
        <w:pStyle w:val="Heading3"/>
        <w:spacing w:after="100" w:before="220"/>
      </w:pPr>
      <w:r>
        <w:t xml:space="preserve">🟡 Medio — Sin validación real del tipo de archivo ni tope individual de tamaño</w:t>
      </w:r>
    </w:p>
    <w:p>
      <w:pPr>
        <w:spacing w:after="160" w:line="276"/>
      </w:pPr>
      <w:r>
        <w:rPr>
          <w:rFonts w:ascii="Calibri" w:cs="Calibri" w:eastAsia="Calibri" w:hAnsi="Calibri"/>
          <w:sz w:val="22"/>
          <w:szCs w:val="22"/>
        </w:rPr>
        <w:t xml:space="preserve">Las rutas que reciben documentos en base64 confían en el tipo que declara el cliente, sin revisar los primeros bytes del archivo real. El único límite es el global de 60MB por petición y el tope de 100 archivos por lote -- no hay tope por archivo individual.</w:t>
      </w:r>
    </w:p>
    <w:p>
      <w:pPr>
        <w:spacing w:after="160" w:line="276"/>
      </w:pPr>
      <w:r>
        <w:rPr>
          <w:rFonts w:ascii="Calibri" w:cs="Calibri" w:eastAsia="Calibri" w:hAnsi="Calibri"/>
          <w:b/>
          <w:bCs/>
          <w:sz w:val="22"/>
          <w:szCs w:val="22"/>
        </w:rPr>
        <w:t xml:space="preserve">Impacto: </w:t>
      </w:r>
      <w:r>
        <w:rPr>
          <w:rFonts w:ascii="Calibri" w:cs="Calibri" w:eastAsia="Calibri" w:hAnsi="Calibri"/>
          <w:sz w:val="22"/>
          <w:szCs w:val="22"/>
        </w:rPr>
        <w:t xml:space="preserve">principalmente de costo/recursos (forzar que contenido no relacionado se envíe como si fuera otro tipo), no de ejecución de código -- los archivos nunca se devuelven al navegador como respuesta binaria cruda.</w:t>
      </w:r>
    </w:p>
    <w:p>
      <w:pPr>
        <w:spacing w:after="160" w:line="276"/>
      </w:pPr>
      <w:r>
        <w:rPr>
          <w:rFonts w:ascii="Calibri" w:cs="Calibri" w:eastAsia="Calibri" w:hAnsi="Calibri"/>
          <w:b/>
          <w:bCs/>
          <w:sz w:val="22"/>
          <w:szCs w:val="22"/>
        </w:rPr>
        <w:t xml:space="preserve">Arreglo: </w:t>
      </w:r>
      <w:r>
        <w:rPr>
          <w:rFonts w:ascii="Calibri" w:cs="Calibri" w:eastAsia="Calibri" w:hAnsi="Calibri"/>
          <w:sz w:val="22"/>
          <w:szCs w:val="22"/>
        </w:rPr>
        <w:t xml:space="preserve">validar la firma real de archivo (los primeros bytes) contra el tipo declarado, y poner un tope individual razonable antes de enviarlo a la IA o guardarlo.</w:t>
      </w:r>
    </w:p>
    <w:p>
      <w:pPr>
        <w:pStyle w:val="Heading3"/>
        <w:spacing w:after="100" w:before="220"/>
      </w:pPr>
      <w:r>
        <w:t xml:space="preserve">🟡 Medio — Dependencias con vulnerabilidades conocidas</w:t>
      </w:r>
    </w:p>
    <w:p>
      <w:pPr>
        <w:spacing w:after="160" w:line="276"/>
      </w:pPr>
      <w:r>
        <w:rPr>
          <w:rFonts w:ascii="Calibri" w:cs="Calibri" w:eastAsia="Calibri" w:hAnsi="Calibri"/>
          <w:sz w:val="22"/>
          <w:szCs w:val="22"/>
        </w:rPr>
        <w:t xml:space="preserve">npm audit reporta 5 vulnerabilidades moderadas, todas con corrección disponible: qs (denegación de servicio y bypass de límite de arreglos, arrastrada por body-parser/express) y uuid (validación de límites de buffer, arrastrada por gaxios/google-auth-library). Ninguna es crítica ni de ejecución remota de código, pero la de qs es explotable sobre el parseo de parámetros de Express, expuesto directamente a internet.</w:t>
      </w:r>
    </w:p>
    <w:p>
      <w:pPr>
        <w:spacing w:after="160" w:line="276"/>
      </w:pPr>
      <w:r>
        <w:rPr>
          <w:rFonts w:ascii="Calibri" w:cs="Calibri" w:eastAsia="Calibri" w:hAnsi="Calibri"/>
          <w:b/>
          <w:bCs/>
          <w:sz w:val="22"/>
          <w:szCs w:val="22"/>
        </w:rPr>
        <w:t xml:space="preserve">Arreglo: </w:t>
      </w:r>
      <w:r>
        <w:rPr>
          <w:rFonts w:ascii="Calibri" w:cs="Calibri" w:eastAsia="Calibri" w:hAnsi="Calibri"/>
          <w:sz w:val="22"/>
          <w:szCs w:val="22"/>
        </w:rPr>
        <w:t xml:space="preserve">ejecutar npm audit fix (ambas tienen corrección disponible sin cambios incompatibles aparentes) y confirmar que los tests y el arranque siguen bien después.</w:t>
      </w:r>
    </w:p>
    <w:p>
      <w:pPr>
        <w:pStyle w:val="Heading3"/>
        <w:spacing w:after="100" w:before="220"/>
      </w:pPr>
      <w:r>
        <w:t xml:space="preserve">🟢 Bajo / Informativo</w:t>
      </w:r>
    </w:p>
    <w:p>
      <w:pPr>
        <w:pStyle w:val="ListParagraph"/>
        <w:numPr>
          <w:ilvl w:val="0"/>
          <w:numId w:val="2"/>
        </w:numPr>
        <w:spacing w:after="100" w:line="270"/>
      </w:pPr>
      <w:r>
        <w:rPr>
          <w:rFonts w:ascii="Calibri" w:cs="Calibri" w:eastAsia="Calibri" w:hAnsi="Calibri"/>
          <w:b/>
          <w:bCs/>
          <w:sz w:val="22"/>
          <w:szCs w:val="22"/>
        </w:rPr>
        <w:t xml:space="preserve">CSRF sin token explícito: </w:t>
      </w:r>
      <w:r>
        <w:rPr>
          <w:rFonts w:ascii="Calibri" w:cs="Calibri" w:eastAsia="Calibri" w:hAnsi="Calibri"/>
          <w:sz w:val="22"/>
          <w:szCs w:val="22"/>
        </w:rPr>
        <w:t xml:space="preserve">razonablemente mitigado por la cookie SameSite=lax y porque ninguna mutación ocurre en una petición GET; por defensa en profundidad, valdría la pena exigir el encabezado Origin en acciones sensibles (eliminar factura, cambiar rol, quitar miembro).</w:t>
      </w:r>
    </w:p>
    <w:p>
      <w:pPr>
        <w:pStyle w:val="ListParagraph"/>
        <w:numPr>
          <w:ilvl w:val="0"/>
          <w:numId w:val="2"/>
        </w:numPr>
        <w:spacing w:after="100" w:line="270"/>
      </w:pPr>
      <w:r>
        <w:rPr>
          <w:rFonts w:ascii="Calibri" w:cs="Calibri" w:eastAsia="Calibri" w:hAnsi="Calibri"/>
          <w:b/>
          <w:bCs/>
          <w:sz w:val="22"/>
          <w:szCs w:val="22"/>
        </w:rPr>
        <w:t xml:space="preserve">Inyección de fórmulas en exportes a Excel (teórica): </w:t>
      </w:r>
      <w:r>
        <w:rPr>
          <w:rFonts w:ascii="Calibri" w:cs="Calibri" w:eastAsia="Calibri" w:hAnsi="Calibri"/>
          <w:sz w:val="22"/>
          <w:szCs w:val="22"/>
        </w:rPr>
        <w:t xml:space="preserve">campos de factura se escriben sin neutralizar un "=" inicial -- no explotable hoy porque ExcelJS no lo trata como fórmula, pero sí sería grave si en el futuro se agrega una exportación a CSV plano.</w:t>
      </w:r>
    </w:p>
    <w:p>
      <w:pPr>
        <w:pStyle w:val="ListParagraph"/>
        <w:numPr>
          <w:ilvl w:val="0"/>
          <w:numId w:val="2"/>
        </w:numPr>
        <w:spacing w:after="100" w:line="270"/>
      </w:pPr>
      <w:r>
        <w:rPr>
          <w:rFonts w:ascii="Calibri" w:cs="Calibri" w:eastAsia="Calibri" w:hAnsi="Calibri"/>
          <w:b/>
          <w:bCs/>
          <w:sz w:val="22"/>
          <w:szCs w:val="22"/>
        </w:rPr>
        <w:t xml:space="preserve">Manipulación del contenido del documento hacia la IA: </w:t>
      </w:r>
      <w:r>
        <w:rPr>
          <w:rFonts w:ascii="Calibri" w:cs="Calibri" w:eastAsia="Calibri" w:hAnsi="Calibri"/>
          <w:sz w:val="22"/>
          <w:szCs w:val="22"/>
        </w:rPr>
        <w:t xml:space="preserve">un documento adversarial podría intentar influir en lo que la IA extrae -- el impacto está acotado porque el flujo exige revisión humana antes de dar cualquier dato por firme.</w:t>
      </w:r>
    </w:p>
    <w:p>
      <w:pPr>
        <w:pStyle w:val="Heading2"/>
        <w:spacing w:after="140" w:before="320"/>
      </w:pPr>
      <w:r>
        <w:t xml:space="preserve">3.3 Puntos a favor (lo que ya está bien hecho)</w:t>
      </w:r>
    </w:p>
    <w:p>
      <w:pPr>
        <w:pStyle w:val="ListParagraph"/>
        <w:numPr>
          <w:ilvl w:val="0"/>
          <w:numId w:val="2"/>
        </w:numPr>
        <w:spacing w:after="100" w:line="270"/>
      </w:pPr>
      <w:r>
        <w:rPr>
          <w:rFonts w:ascii="Calibri" w:cs="Calibri" w:eastAsia="Calibri" w:hAnsi="Calibri"/>
          <w:sz w:val="22"/>
          <w:szCs w:val="22"/>
        </w:rPr>
        <w:t xml:space="preserve">Inyección SQL: no se encontró ninguna. Todas las queries parametrizan ($1, $2...); las pocas construcciones dinámicas de SQL solo interpolan nombres de columna, siempre desde listas blancas fijas en el servidor.</w:t>
      </w:r>
    </w:p>
    <w:p>
      <w:pPr>
        <w:pStyle w:val="ListParagraph"/>
        <w:numPr>
          <w:ilvl w:val="0"/>
          <w:numId w:val="2"/>
        </w:numPr>
        <w:spacing w:after="100" w:line="270"/>
      </w:pPr>
      <w:r>
        <w:rPr>
          <w:rFonts w:ascii="Calibri" w:cs="Calibri" w:eastAsia="Calibri" w:hAnsi="Calibri"/>
          <w:sz w:val="22"/>
          <w:szCs w:val="22"/>
        </w:rPr>
        <w:t xml:space="preserve">IDOR / fuga entre firmas: es el punto más fuerte de la aplicación. Las ~30 rutas con :id revisadas filtran de forma consistente por contador_id = req.firmaId, con una segunda capa (puedeAccederCliente/clientesAsignados) para restringir usuarios a clientes puntuales dentro de su propia firma.</w:t>
      </w:r>
    </w:p>
    <w:p>
      <w:pPr>
        <w:pStyle w:val="ListParagraph"/>
        <w:numPr>
          <w:ilvl w:val="0"/>
          <w:numId w:val="2"/>
        </w:numPr>
        <w:spacing w:after="100" w:line="270"/>
      </w:pPr>
      <w:r>
        <w:rPr>
          <w:rFonts w:ascii="Calibri" w:cs="Calibri" w:eastAsia="Calibri" w:hAnsi="Calibri"/>
          <w:sz w:val="22"/>
          <w:szCs w:val="22"/>
        </w:rPr>
        <w:t xml:space="preserve">Autorización por rol: se aplica en el servidor (requireRole), no solo ocultando botones en el HTML -- un auxiliar que llame directo a una ruta de aprobación recibe 403 real.</w:t>
      </w:r>
    </w:p>
    <w:p>
      <w:pPr>
        <w:pStyle w:val="ListParagraph"/>
        <w:numPr>
          <w:ilvl w:val="0"/>
          <w:numId w:val="2"/>
        </w:numPr>
        <w:spacing w:after="100" w:line="270"/>
      </w:pPr>
      <w:r>
        <w:rPr>
          <w:rFonts w:ascii="Calibri" w:cs="Calibri" w:eastAsia="Calibri" w:hAnsi="Calibri"/>
          <w:sz w:val="22"/>
          <w:szCs w:val="22"/>
        </w:rPr>
        <w:t xml:space="preserve">Secretos: ninguno hardcodeado. Todas las claves (Gemini, Google OAuth, JWT, base de datos) vienen de variables de entorno; el servidor no arranca sin ellas; .env nunca se subió al historial de git.</w:t>
      </w:r>
    </w:p>
    <w:p>
      <w:pPr>
        <w:pStyle w:val="ListParagraph"/>
        <w:numPr>
          <w:ilvl w:val="0"/>
          <w:numId w:val="2"/>
        </w:numPr>
        <w:spacing w:after="100" w:line="270"/>
      </w:pPr>
      <w:r>
        <w:rPr>
          <w:rFonts w:ascii="Calibri" w:cs="Calibri" w:eastAsia="Calibri" w:hAnsi="Calibri"/>
          <w:sz w:val="22"/>
          <w:szCs w:val="22"/>
        </w:rPr>
        <w:t xml:space="preserve">XSS: cobertura consistente de escapeHtml() en los HTML que renderizan datos de factura/cliente, incluso en atributos (title="...").</w:t>
      </w:r>
    </w:p>
    <w:p>
      <w:pPr>
        <w:pStyle w:val="ListParagraph"/>
        <w:numPr>
          <w:ilvl w:val="0"/>
          <w:numId w:val="2"/>
        </w:numPr>
        <w:spacing w:after="100" w:line="270"/>
      </w:pPr>
      <w:r>
        <w:rPr>
          <w:rFonts w:ascii="Calibri" w:cs="Calibri" w:eastAsia="Calibri" w:hAnsi="Calibri"/>
          <w:sz w:val="22"/>
          <w:szCs w:val="22"/>
        </w:rPr>
        <w:t xml:space="preserve">Cookie de sesión: httpOnly, secure (con fallback inteligente en producción) y SameSite=lax.</w:t>
      </w:r>
    </w:p>
    <w:p>
      <w:pPr>
        <w:pStyle w:val="ListParagraph"/>
        <w:numPr>
          <w:ilvl w:val="0"/>
          <w:numId w:val="2"/>
        </w:numPr>
        <w:spacing w:after="100" w:line="270"/>
      </w:pPr>
      <w:r>
        <w:rPr>
          <w:rFonts w:ascii="Calibri" w:cs="Calibri" w:eastAsia="Calibri" w:hAnsi="Calibri"/>
          <w:sz w:val="22"/>
          <w:szCs w:val="22"/>
        </w:rPr>
        <w:t xml:space="preserve">Cabeceras de seguridad razonables (X-Content-Type-Options, X-Frame-Options, HSTS condicional) en seguridad.js.</w:t>
      </w:r>
    </w:p>
    <w:p>
      <w:pPr>
        <w:pStyle w:val="ListParagraph"/>
        <w:numPr>
          <w:ilvl w:val="0"/>
          <w:numId w:val="2"/>
        </w:numPr>
        <w:spacing w:after="100" w:line="270"/>
      </w:pPr>
      <w:r>
        <w:rPr>
          <w:rFonts w:ascii="Calibri" w:cs="Calibri" w:eastAsia="Calibri" w:hAnsi="Calibri"/>
          <w:sz w:val="22"/>
          <w:szCs w:val="22"/>
        </w:rPr>
        <w:t xml:space="preserve">Procesamiento de Excel/CSV: el parseo real de .xlsx ocurre siempre en el navegador del usuario, nunca en el servidor -- elimina de raíz el riesgo clásico de archivo malicioso reventando el servidor.</w:t>
      </w:r>
    </w:p>
    <w:p>
      <w:pPr>
        <w:pStyle w:val="ListParagraph"/>
        <w:numPr>
          <w:ilvl w:val="0"/>
          <w:numId w:val="2"/>
        </w:numPr>
        <w:spacing w:after="100" w:line="270"/>
      </w:pPr>
      <w:r>
        <w:rPr>
          <w:rFonts w:ascii="Calibri" w:cs="Calibri" w:eastAsia="Calibri" w:hAnsi="Calibri"/>
          <w:sz w:val="22"/>
          <w:szCs w:val="22"/>
        </w:rPr>
        <w:t xml:space="preserve">Rate limiting por costo de IA: bien aplicado en 6 de las 7 rutas que llaman a Gemini (el único hueco es Carga masiva, reportado arriba).</w:t>
      </w:r>
    </w:p>
    <w:p>
      <w:pPr>
        <w:pStyle w:val="Heading2"/>
        <w:spacing w:after="140" w:before="320"/>
      </w:pPr>
      <w:r>
        <w:t xml:space="preserve">3.4 Resumen de seguridad</w:t>
      </w:r>
    </w:p>
    <w:p>
      <w:pPr>
        <w:spacing w:after="160" w:line="276"/>
      </w:pPr>
      <w:r>
        <w:rPr>
          <w:rFonts w:ascii="Calibri" w:cs="Calibri" w:eastAsia="Calibri" w:hAnsi="Calibri"/>
          <w:sz w:val="22"/>
          <w:szCs w:val="22"/>
        </w:rPr>
        <w:t xml:space="preserve">El código muestra un nivel de cuidado en seguridad notablemente superior al típico para un proyecto de este tamaño -- en particular, la protección contra accesos cruzados entre firmas (el riesgo más importante en un sistema multi-tenant) está excepcionalmente bien resuelta, con comentarios en el propio código que muestran que se pensó explícitamente en estos vectores. No se encontró inyección SQL, ni XSS explotable, ni secretos filtrados. Los dos hallazgos que de verdad requieren atención a corto plazo son el bypass del límite de gasto de IA en Carga masiva (daño financiero directo y trivial de explotar) y la ausencia de un registro de auditoría combinada con la posibilidad de editar una factura ya aprobada. El resto son mejoras razonables de defensa en profundidad, no urgencias.</w:t>
      </w:r>
    </w:p>
    <w:p>
      <w:r>
        <w:br w:type="page"/>
      </w:r>
    </w:p>
    <w:p>
      <w:pPr>
        <w:pStyle w:val="Heading1"/>
        <w:spacing w:after="200" w:before="420"/>
      </w:pPr>
      <w:r>
        <w:t xml:space="preserve">4. Comparación con el mercado</w:t>
      </w:r>
    </w:p>
    <w:p>
      <w:pPr>
        <w:spacing w:after="160" w:line="276"/>
      </w:pPr>
      <w:r>
        <w:rPr>
          <w:rFonts w:ascii="Calibri" w:cs="Calibri" w:eastAsia="Calibri" w:hAnsi="Calibri"/>
          <w:sz w:val="22"/>
          <w:szCs w:val="22"/>
        </w:rPr>
        <w:t xml:space="preserve">Investigación de mercado 2026 sobre el software colombiano de facturación electrónica y contabilidad para pymes, para comparar el posicionamiento de Enlaza frente a lo que ya existe.</w:t>
      </w:r>
    </w:p>
    <w:p>
      <w:pPr>
        <w:pStyle w:val="Heading2"/>
        <w:spacing w:after="140" w:before="320"/>
      </w:pPr>
      <w:r>
        <w:t xml:space="preserve">4.1 Panorama general</w:t>
      </w:r>
    </w:p>
    <w:p>
      <w:pPr>
        <w:spacing w:after="160" w:line="276"/>
      </w:pPr>
      <w:r>
        <w:rPr>
          <w:rFonts w:ascii="Calibri" w:cs="Calibri" w:eastAsia="Calibri" w:hAnsi="Calibri"/>
          <w:sz w:val="22"/>
          <w:szCs w:val="22"/>
        </w:rPr>
        <w:t xml:space="preserve">El mercado colombiano tiene dos capas muy distintas en 2026. La primera son los incumbentes establecidos (Siigo, Alegra, World Office, Helisa, ContaPyme) -- con habilitación DIAN madura y bases instaladas enormes, pero IA todavía superficial (asistentes de texto o OCR básico), no un motor de reglas fiscales automatizado como el de Enlaza. La segunda son jugadores "nativos de IA" emergentes (Cifrato, AX1, Back Contable) -- nacidos específicamente para automatizar la causación contable con IA, varios ya dirigidos explícitamente a contadores que manejan carteras de empresas-cliente, el mismo modelo que Enlaza. Esta segunda capa es la competencia real más peligrosa, no los incumbentes grandes.</w:t>
      </w:r>
    </w:p>
    <w:p>
      <w:pPr>
        <w:spacing w:after="160" w:line="276"/>
      </w:pPr>
      <w:r>
        <w:rPr>
          <w:rFonts w:ascii="Calibri" w:cs="Calibri" w:eastAsia="Calibri" w:hAnsi="Calibri"/>
          <w:sz w:val="22"/>
          <w:szCs w:val="22"/>
        </w:rPr>
        <w:t xml:space="preserve">Nota de transparencia: no se encontró evidencia confiable de que "Contaia" (mencionado como referencia durante este trabajo) sea un producto SaaS comercial establecido -- las búsquedas solo devuelven un par de repositorios personales en GitHub con ese nombre. Vale la pena confirmar el nombre o enlace exacto para no comparar contra algo que no existe como tal en el mercado.</w:t>
      </w:r>
    </w:p>
    <w:p>
      <w:pPr>
        <w:pStyle w:val="Heading2"/>
        <w:spacing w:after="140" w:before="320"/>
      </w:pPr>
      <w:r>
        <w:t xml:space="preserve">4.2 Comparación de competidores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750"/>
        <w:gridCol w:w="2100"/>
        <w:gridCol w:w="1710"/>
      </w:tblGrid>
      <w:tr>
        <w:trPr>
          <w:tblHeader/>
        </w:trPr>
        <w:tc>
          <w:tcPr>
            <w:tcW w:type="dxa" w:w="1700"/>
            <w:shd w:fill="E8ECEE" w:val="clear"/>
            <w:tcMar>
              <w:top w:type="dxa" w:w="90"/>
              <w:left w:type="dxa" w:w="110"/>
              <w:bottom w:type="dxa" w:w="90"/>
              <w:right w:type="dxa" w:w="110"/>
            </w:tcMar>
            <w:vAlign w:val="center"/>
          </w:tcPr>
          <w:p>
            <w:pPr>
              <w:jc w:val="left"/>
            </w:pPr>
            <w:r>
              <w:rPr>
                <w:rFonts w:ascii="Calibri" w:cs="Calibri" w:eastAsia="Calibri" w:hAnsi="Calibri"/>
                <w:b/>
                <w:bCs/>
                <w:sz w:val="18"/>
                <w:szCs w:val="18"/>
              </w:rPr>
              <w:t xml:space="preserve">Competidor</w:t>
            </w:r>
          </w:p>
        </w:tc>
        <w:tc>
          <w:tcPr>
            <w:tcW w:type="dxa" w:w="2100"/>
            <w:shd w:fill="E8ECEE" w:val="clear"/>
            <w:tcMar>
              <w:top w:type="dxa" w:w="90"/>
              <w:left w:type="dxa" w:w="110"/>
              <w:bottom w:type="dxa" w:w="90"/>
              <w:right w:type="dxa" w:w="110"/>
            </w:tcMar>
            <w:vAlign w:val="center"/>
          </w:tcPr>
          <w:p>
            <w:pPr>
              <w:jc w:val="left"/>
            </w:pPr>
            <w:r>
              <w:rPr>
                <w:rFonts w:ascii="Calibri" w:cs="Calibri" w:eastAsia="Calibri" w:hAnsi="Calibri"/>
                <w:b/>
                <w:bCs/>
                <w:sz w:val="18"/>
                <w:szCs w:val="18"/>
              </w:rPr>
              <w:t xml:space="preserve">IA / OCR</w:t>
            </w:r>
          </w:p>
        </w:tc>
        <w:tc>
          <w:tcPr>
            <w:tcW w:type="dxa" w:w="1750"/>
            <w:shd w:fill="E8ECEE" w:val="clear"/>
            <w:tcMar>
              <w:top w:type="dxa" w:w="90"/>
              <w:left w:type="dxa" w:w="110"/>
              <w:bottom w:type="dxa" w:w="90"/>
              <w:right w:type="dxa" w:w="110"/>
            </w:tcMar>
            <w:vAlign w:val="center"/>
          </w:tcPr>
          <w:p>
            <w:pPr>
              <w:jc w:val="left"/>
            </w:pPr>
            <w:r>
              <w:rPr>
                <w:rFonts w:ascii="Calibri" w:cs="Calibri" w:eastAsia="Calibri" w:hAnsi="Calibri"/>
                <w:b/>
                <w:bCs/>
                <w:sz w:val="18"/>
                <w:szCs w:val="18"/>
              </w:rPr>
              <w:t xml:space="preserve">Retenciones automáticas</w:t>
            </w:r>
          </w:p>
        </w:tc>
        <w:tc>
          <w:tcPr>
            <w:tcW w:type="dxa" w:w="2100"/>
            <w:shd w:fill="E8ECEE" w:val="clear"/>
            <w:tcMar>
              <w:top w:type="dxa" w:w="90"/>
              <w:left w:type="dxa" w:w="110"/>
              <w:bottom w:type="dxa" w:w="90"/>
              <w:right w:type="dxa" w:w="110"/>
            </w:tcMar>
            <w:vAlign w:val="center"/>
          </w:tcPr>
          <w:p>
            <w:pPr>
              <w:jc w:val="left"/>
            </w:pPr>
            <w:r>
              <w:rPr>
                <w:rFonts w:ascii="Calibri" w:cs="Calibri" w:eastAsia="Calibri" w:hAnsi="Calibri"/>
                <w:b/>
                <w:bCs/>
                <w:sz w:val="18"/>
                <w:szCs w:val="18"/>
              </w:rPr>
              <w:t xml:space="preserve">Multi-empresa (contador)</w:t>
            </w:r>
          </w:p>
        </w:tc>
        <w:tc>
          <w:tcPr>
            <w:tcW w:type="dxa" w:w="1710"/>
            <w:shd w:fill="E8ECEE" w:val="clear"/>
            <w:tcMar>
              <w:top w:type="dxa" w:w="90"/>
              <w:left w:type="dxa" w:w="110"/>
              <w:bottom w:type="dxa" w:w="90"/>
              <w:right w:type="dxa" w:w="110"/>
            </w:tcMar>
            <w:vAlign w:val="center"/>
          </w:tcPr>
          <w:p>
            <w:pPr>
              <w:jc w:val="left"/>
            </w:pPr>
            <w:r>
              <w:rPr>
                <w:rFonts w:ascii="Calibri" w:cs="Calibri" w:eastAsia="Calibri" w:hAnsi="Calibri"/>
                <w:b/>
                <w:bCs/>
                <w:sz w:val="18"/>
                <w:szCs w:val="18"/>
              </w:rPr>
              <w:t xml:space="preserve">Precio aprox.</w:t>
            </w:r>
          </w:p>
        </w:tc>
      </w:tr>
      <w:tr>
        <w:tc>
          <w:tcPr>
            <w:tcW w:type="dxa" w:w="1700"/>
            <w:tcMar>
              <w:top w:type="dxa" w:w="90"/>
              <w:left w:type="dxa" w:w="110"/>
              <w:bottom w:type="dxa" w:w="90"/>
              <w:right w:type="dxa" w:w="110"/>
            </w:tcMar>
            <w:vAlign w:val="center"/>
          </w:tcPr>
          <w:p>
            <w:pPr>
              <w:jc w:val="left"/>
            </w:pPr>
            <w:r>
              <w:rPr>
                <w:rFonts w:ascii="Calibri" w:cs="Calibri" w:eastAsia="Calibri" w:hAnsi="Calibri"/>
                <w:b/>
                <w:bCs/>
                <w:sz w:val="17"/>
                <w:szCs w:val="17"/>
              </w:rPr>
              <w:t xml:space="preserve">Siigo / Siigo Nube</w:t>
            </w:r>
          </w:p>
        </w:tc>
        <w:tc>
          <w:tcPr>
            <w:tcW w:type="dxa" w:w="2100"/>
            <w:tcMar>
              <w:top w:type="dxa" w:w="90"/>
              <w:left w:type="dxa" w:w="110"/>
              <w:bottom w:type="dxa" w:w="90"/>
              <w:right w:type="dxa" w:w="110"/>
            </w:tcMar>
            <w:vAlign w:val="center"/>
          </w:tcPr>
          <w:p>
            <w:pPr>
              <w:jc w:val="left"/>
            </w:pPr>
            <w:r>
              <w:rPr>
                <w:rFonts w:ascii="Calibri" w:cs="Calibri" w:eastAsia="Calibri" w:hAnsi="Calibri"/>
                <w:b w:val="false"/>
                <w:bCs w:val="false"/>
                <w:sz w:val="17"/>
                <w:szCs w:val="17"/>
              </w:rPr>
              <w:t xml:space="preserve">Asistente de consultas, sin OCR de compras nativo</w:t>
            </w:r>
          </w:p>
        </w:tc>
        <w:tc>
          <w:tcPr>
            <w:tcW w:type="dxa" w:w="1750"/>
            <w:tcMar>
              <w:top w:type="dxa" w:w="90"/>
              <w:left w:type="dxa" w:w="110"/>
              <w:bottom w:type="dxa" w:w="90"/>
              <w:right w:type="dxa" w:w="110"/>
            </w:tcMar>
            <w:vAlign w:val="center"/>
          </w:tcPr>
          <w:p>
            <w:pPr>
              <w:jc w:val="left"/>
            </w:pPr>
            <w:r>
              <w:rPr>
                <w:rFonts w:ascii="Calibri" w:cs="Calibri" w:eastAsia="Calibri" w:hAnsi="Calibri"/>
                <w:b w:val="false"/>
                <w:bCs w:val="false"/>
                <w:sz w:val="17"/>
                <w:szCs w:val="17"/>
              </w:rPr>
              <w:t xml:space="preserve">No documentado como motor automático</w:t>
            </w:r>
          </w:p>
        </w:tc>
        <w:tc>
          <w:tcPr>
            <w:tcW w:type="dxa" w:w="2100"/>
            <w:tcMar>
              <w:top w:type="dxa" w:w="90"/>
              <w:left w:type="dxa" w:w="110"/>
              <w:bottom w:type="dxa" w:w="90"/>
              <w:right w:type="dxa" w:w="110"/>
            </w:tcMar>
            <w:vAlign w:val="center"/>
          </w:tcPr>
          <w:p>
            <w:pPr>
              <w:jc w:val="left"/>
            </w:pPr>
            <w:r>
              <w:rPr>
                <w:rFonts w:ascii="Calibri" w:cs="Calibri" w:eastAsia="Calibri" w:hAnsi="Calibri"/>
                <w:b w:val="false"/>
                <w:bCs w:val="false"/>
                <w:sz w:val="17"/>
                <w:szCs w:val="17"/>
              </w:rPr>
              <w:t xml:space="preserve">Sí ("Contador Ilimitado", producto aparte)</w:t>
            </w:r>
          </w:p>
        </w:tc>
        <w:tc>
          <w:tcPr>
            <w:tcW w:type="dxa" w:w="1710"/>
            <w:tcMar>
              <w:top w:type="dxa" w:w="90"/>
              <w:left w:type="dxa" w:w="110"/>
              <w:bottom w:type="dxa" w:w="90"/>
              <w:right w:type="dxa" w:w="110"/>
            </w:tcMar>
            <w:vAlign w:val="center"/>
          </w:tcPr>
          <w:p>
            <w:pPr>
              <w:jc w:val="left"/>
            </w:pPr>
            <w:r>
              <w:rPr>
                <w:rFonts w:ascii="Calibri" w:cs="Calibri" w:eastAsia="Calibri" w:hAnsi="Calibri"/>
                <w:b w:val="false"/>
                <w:bCs w:val="false"/>
                <w:sz w:val="17"/>
                <w:szCs w:val="17"/>
              </w:rPr>
              <w:t xml:space="preserve">~$44.658-57.068/mes (planes contador/facturación)</w:t>
            </w:r>
          </w:p>
        </w:tc>
      </w:tr>
      <w:tr>
        <w:tc>
          <w:tcPr>
            <w:tcW w:type="dxa" w:w="1700"/>
            <w:tcMar>
              <w:top w:type="dxa" w:w="90"/>
              <w:left w:type="dxa" w:w="110"/>
              <w:bottom w:type="dxa" w:w="90"/>
              <w:right w:type="dxa" w:w="110"/>
            </w:tcMar>
            <w:vAlign w:val="center"/>
          </w:tcPr>
          <w:p>
            <w:pPr>
              <w:jc w:val="left"/>
            </w:pPr>
            <w:r>
              <w:rPr>
                <w:rFonts w:ascii="Calibri" w:cs="Calibri" w:eastAsia="Calibri" w:hAnsi="Calibri"/>
                <w:b/>
                <w:bCs/>
                <w:sz w:val="17"/>
                <w:szCs w:val="17"/>
              </w:rPr>
              <w:t xml:space="preserve">Alegra</w:t>
            </w:r>
          </w:p>
        </w:tc>
        <w:tc>
          <w:tcPr>
            <w:tcW w:type="dxa" w:w="2100"/>
            <w:tcMar>
              <w:top w:type="dxa" w:w="90"/>
              <w:left w:type="dxa" w:w="110"/>
              <w:bottom w:type="dxa" w:w="90"/>
              <w:right w:type="dxa" w:w="110"/>
            </w:tcMar>
            <w:vAlign w:val="center"/>
          </w:tcPr>
          <w:p>
            <w:pPr>
              <w:jc w:val="left"/>
            </w:pPr>
            <w:r>
              <w:rPr>
                <w:rFonts w:ascii="Calibri" w:cs="Calibri" w:eastAsia="Calibri" w:hAnsi="Calibri"/>
                <w:b w:val="false"/>
                <w:bCs w:val="false"/>
                <w:sz w:val="17"/>
                <w:szCs w:val="17"/>
              </w:rPr>
              <w:t xml:space="preserve">OCR real de facturas (foto/PDF/WhatsApp), el más avanzado de los incumbentes</w:t>
            </w:r>
          </w:p>
        </w:tc>
        <w:tc>
          <w:tcPr>
            <w:tcW w:type="dxa" w:w="1750"/>
            <w:tcMar>
              <w:top w:type="dxa" w:w="90"/>
              <w:left w:type="dxa" w:w="110"/>
              <w:bottom w:type="dxa" w:w="90"/>
              <w:right w:type="dxa" w:w="110"/>
            </w:tcMar>
            <w:vAlign w:val="center"/>
          </w:tcPr>
          <w:p>
            <w:pPr>
              <w:jc w:val="left"/>
            </w:pPr>
            <w:r>
              <w:rPr>
                <w:rFonts w:ascii="Calibri" w:cs="Calibri" w:eastAsia="Calibri" w:hAnsi="Calibri"/>
                <w:b w:val="false"/>
                <w:bCs w:val="false"/>
                <w:sz w:val="17"/>
                <w:szCs w:val="17"/>
              </w:rPr>
              <w:t xml:space="preserve">No detallado como motor de ReteFuente/IVA/ICA</w:t>
            </w:r>
          </w:p>
        </w:tc>
        <w:tc>
          <w:tcPr>
            <w:tcW w:type="dxa" w:w="2100"/>
            <w:tcMar>
              <w:top w:type="dxa" w:w="90"/>
              <w:left w:type="dxa" w:w="110"/>
              <w:bottom w:type="dxa" w:w="90"/>
              <w:right w:type="dxa" w:w="110"/>
            </w:tcMar>
            <w:vAlign w:val="center"/>
          </w:tcPr>
          <w:p>
            <w:pPr>
              <w:jc w:val="left"/>
            </w:pPr>
            <w:r>
              <w:rPr>
                <w:rFonts w:ascii="Calibri" w:cs="Calibri" w:eastAsia="Calibri" w:hAnsi="Calibri"/>
                <w:b w:val="false"/>
                <w:bCs w:val="false"/>
                <w:sz w:val="17"/>
                <w:szCs w:val="17"/>
              </w:rPr>
              <w:t xml:space="preserve">Sí ("Espacio Contador", muy similar a Enlaza</w:t>
            </w:r>
          </w:p>
        </w:tc>
        <w:tc>
          <w:tcPr>
            <w:tcW w:type="dxa" w:w="1710"/>
            <w:tcMar>
              <w:top w:type="dxa" w:w="90"/>
              <w:left w:type="dxa" w:w="110"/>
              <w:bottom w:type="dxa" w:w="90"/>
              <w:right w:type="dxa" w:w="110"/>
            </w:tcMar>
            <w:vAlign w:val="center"/>
          </w:tcPr>
          <w:p>
            <w:pPr>
              <w:jc w:val="left"/>
            </w:pPr>
            <w:r>
              <w:rPr>
                <w:rFonts w:ascii="Calibri" w:cs="Calibri" w:eastAsia="Calibri" w:hAnsi="Calibri"/>
                <w:b w:val="false"/>
                <w:bCs w:val="false"/>
                <w:sz w:val="17"/>
                <w:szCs w:val="17"/>
              </w:rPr>
              <w:t xml:space="preserve">$74.900-319.900/mes (contabilidad)</w:t>
            </w:r>
          </w:p>
        </w:tc>
      </w:tr>
      <w:tr>
        <w:tc>
          <w:tcPr>
            <w:tcW w:type="dxa" w:w="1700"/>
            <w:tcMar>
              <w:top w:type="dxa" w:w="90"/>
              <w:left w:type="dxa" w:w="110"/>
              <w:bottom w:type="dxa" w:w="90"/>
              <w:right w:type="dxa" w:w="110"/>
            </w:tcMar>
            <w:vAlign w:val="center"/>
          </w:tcPr>
          <w:p>
            <w:pPr>
              <w:jc w:val="left"/>
            </w:pPr>
            <w:r>
              <w:rPr>
                <w:rFonts w:ascii="Calibri" w:cs="Calibri" w:eastAsia="Calibri" w:hAnsi="Calibri"/>
                <w:b/>
                <w:bCs/>
                <w:sz w:val="17"/>
                <w:szCs w:val="17"/>
              </w:rPr>
              <w:t xml:space="preserve">World Office</w:t>
            </w:r>
          </w:p>
        </w:tc>
        <w:tc>
          <w:tcPr>
            <w:tcW w:type="dxa" w:w="2100"/>
            <w:tcMar>
              <w:top w:type="dxa" w:w="90"/>
              <w:left w:type="dxa" w:w="110"/>
              <w:bottom w:type="dxa" w:w="90"/>
              <w:right w:type="dxa" w:w="110"/>
            </w:tcMar>
            <w:vAlign w:val="center"/>
          </w:tcPr>
          <w:p>
            <w:pPr>
              <w:jc w:val="left"/>
            </w:pPr>
            <w:r>
              <w:rPr>
                <w:rFonts w:ascii="Calibri" w:cs="Calibri" w:eastAsia="Calibri" w:hAnsi="Calibri"/>
                <w:b w:val="false"/>
                <w:bCs w:val="false"/>
                <w:sz w:val="17"/>
                <w:szCs w:val="17"/>
              </w:rPr>
              <w:t xml:space="preserve">Solo en plan Enterprise (conector a Claude/ChatGPT)</w:t>
            </w:r>
          </w:p>
        </w:tc>
        <w:tc>
          <w:tcPr>
            <w:tcW w:type="dxa" w:w="1750"/>
            <w:tcMar>
              <w:top w:type="dxa" w:w="90"/>
              <w:left w:type="dxa" w:w="110"/>
              <w:bottom w:type="dxa" w:w="90"/>
              <w:right w:type="dxa" w:w="110"/>
            </w:tcMar>
            <w:vAlign w:val="center"/>
          </w:tcPr>
          <w:p>
            <w:pPr>
              <w:jc w:val="left"/>
            </w:pPr>
            <w:r>
              <w:rPr>
                <w:rFonts w:ascii="Calibri" w:cs="Calibri" w:eastAsia="Calibri" w:hAnsi="Calibri"/>
                <w:b w:val="false"/>
                <w:bCs w:val="false"/>
                <w:sz w:val="17"/>
                <w:szCs w:val="17"/>
              </w:rPr>
              <w:t xml:space="preserve">No documentado</w:t>
            </w:r>
          </w:p>
        </w:tc>
        <w:tc>
          <w:tcPr>
            <w:tcW w:type="dxa" w:w="2100"/>
            <w:tcMar>
              <w:top w:type="dxa" w:w="90"/>
              <w:left w:type="dxa" w:w="110"/>
              <w:bottom w:type="dxa" w:w="90"/>
              <w:right w:type="dxa" w:w="110"/>
            </w:tcMar>
            <w:vAlign w:val="center"/>
          </w:tcPr>
          <w:p>
            <w:pPr>
              <w:jc w:val="left"/>
            </w:pPr>
            <w:r>
              <w:rPr>
                <w:rFonts w:ascii="Calibri" w:cs="Calibri" w:eastAsia="Calibri" w:hAnsi="Calibri"/>
                <w:b w:val="false"/>
                <w:bCs w:val="false"/>
                <w:sz w:val="17"/>
                <w:szCs w:val="17"/>
              </w:rPr>
              <w:t xml:space="preserve">Parcial -- requiere licencias adicionales por empresa</w:t>
            </w:r>
          </w:p>
        </w:tc>
        <w:tc>
          <w:tcPr>
            <w:tcW w:type="dxa" w:w="1710"/>
            <w:tcMar>
              <w:top w:type="dxa" w:w="90"/>
              <w:left w:type="dxa" w:w="110"/>
              <w:bottom w:type="dxa" w:w="90"/>
              <w:right w:type="dxa" w:w="110"/>
            </w:tcMar>
            <w:vAlign w:val="center"/>
          </w:tcPr>
          <w:p>
            <w:pPr>
              <w:jc w:val="left"/>
            </w:pPr>
            <w:r>
              <w:rPr>
                <w:rFonts w:ascii="Calibri" w:cs="Calibri" w:eastAsia="Calibri" w:hAnsi="Calibri"/>
                <w:b w:val="false"/>
                <w:bCs w:val="false"/>
                <w:sz w:val="17"/>
                <w:szCs w:val="17"/>
              </w:rPr>
              <w:t xml:space="preserve">$2.193.000/año (Enterprise)</w:t>
            </w:r>
          </w:p>
        </w:tc>
      </w:tr>
      <w:tr>
        <w:tc>
          <w:tcPr>
            <w:tcW w:type="dxa" w:w="1700"/>
            <w:tcMar>
              <w:top w:type="dxa" w:w="90"/>
              <w:left w:type="dxa" w:w="110"/>
              <w:bottom w:type="dxa" w:w="90"/>
              <w:right w:type="dxa" w:w="110"/>
            </w:tcMar>
            <w:vAlign w:val="center"/>
          </w:tcPr>
          <w:p>
            <w:pPr>
              <w:jc w:val="left"/>
            </w:pPr>
            <w:r>
              <w:rPr>
                <w:rFonts w:ascii="Calibri" w:cs="Calibri" w:eastAsia="Calibri" w:hAnsi="Calibri"/>
                <w:b/>
                <w:bCs/>
                <w:sz w:val="17"/>
                <w:szCs w:val="17"/>
              </w:rPr>
              <w:t xml:space="preserve">Helisa</w:t>
            </w:r>
          </w:p>
        </w:tc>
        <w:tc>
          <w:tcPr>
            <w:tcW w:type="dxa" w:w="2100"/>
            <w:tcMar>
              <w:top w:type="dxa" w:w="90"/>
              <w:left w:type="dxa" w:w="110"/>
              <w:bottom w:type="dxa" w:w="90"/>
              <w:right w:type="dxa" w:w="110"/>
            </w:tcMar>
            <w:vAlign w:val="center"/>
          </w:tcPr>
          <w:p>
            <w:pPr>
              <w:jc w:val="left"/>
            </w:pPr>
            <w:r>
              <w:rPr>
                <w:rFonts w:ascii="Calibri" w:cs="Calibri" w:eastAsia="Calibri" w:hAnsi="Calibri"/>
                <w:b w:val="false"/>
                <w:bCs w:val="false"/>
                <w:sz w:val="17"/>
                <w:szCs w:val="17"/>
              </w:rPr>
              <w:t xml:space="preserve">No encontrada</w:t>
            </w:r>
          </w:p>
        </w:tc>
        <w:tc>
          <w:tcPr>
            <w:tcW w:type="dxa" w:w="1750"/>
            <w:tcMar>
              <w:top w:type="dxa" w:w="90"/>
              <w:left w:type="dxa" w:w="110"/>
              <w:bottom w:type="dxa" w:w="90"/>
              <w:right w:type="dxa" w:w="110"/>
            </w:tcMar>
            <w:vAlign w:val="center"/>
          </w:tcPr>
          <w:p>
            <w:pPr>
              <w:jc w:val="left"/>
            </w:pPr>
            <w:r>
              <w:rPr>
                <w:rFonts w:ascii="Calibri" w:cs="Calibri" w:eastAsia="Calibri" w:hAnsi="Calibri"/>
                <w:b w:val="false"/>
                <w:bCs w:val="false"/>
                <w:sz w:val="17"/>
                <w:szCs w:val="17"/>
              </w:rPr>
              <w:t xml:space="preserve">No documentado</w:t>
            </w:r>
          </w:p>
        </w:tc>
        <w:tc>
          <w:tcPr>
            <w:tcW w:type="dxa" w:w="2100"/>
            <w:tcMar>
              <w:top w:type="dxa" w:w="90"/>
              <w:left w:type="dxa" w:w="110"/>
              <w:bottom w:type="dxa" w:w="90"/>
              <w:right w:type="dxa" w:w="110"/>
            </w:tcMar>
            <w:vAlign w:val="center"/>
          </w:tcPr>
          <w:p>
            <w:pPr>
              <w:jc w:val="left"/>
            </w:pPr>
            <w:r>
              <w:rPr>
                <w:rFonts w:ascii="Calibri" w:cs="Calibri" w:eastAsia="Calibri" w:hAnsi="Calibri"/>
                <w:b w:val="false"/>
                <w:bCs w:val="false"/>
                <w:sz w:val="17"/>
                <w:szCs w:val="17"/>
              </w:rPr>
              <w:t xml:space="preserve">Fuerte -- hasta 100 empresas, pero más "clásico"</w:t>
            </w:r>
          </w:p>
        </w:tc>
        <w:tc>
          <w:tcPr>
            <w:tcW w:type="dxa" w:w="1710"/>
            <w:tcMar>
              <w:top w:type="dxa" w:w="90"/>
              <w:left w:type="dxa" w:w="110"/>
              <w:bottom w:type="dxa" w:w="90"/>
              <w:right w:type="dxa" w:w="110"/>
            </w:tcMar>
            <w:vAlign w:val="center"/>
          </w:tcPr>
          <w:p>
            <w:pPr>
              <w:jc w:val="left"/>
            </w:pPr>
            <w:r>
              <w:rPr>
                <w:rFonts w:ascii="Calibri" w:cs="Calibri" w:eastAsia="Calibri" w:hAnsi="Calibri"/>
                <w:b w:val="false"/>
                <w:bCs w:val="false"/>
                <w:sz w:val="17"/>
                <w:szCs w:val="17"/>
              </w:rPr>
              <w:t xml:space="preserve">$249.480/mes (2 usuarios)</w:t>
            </w:r>
          </w:p>
        </w:tc>
      </w:tr>
      <w:tr>
        <w:tc>
          <w:tcPr>
            <w:tcW w:type="dxa" w:w="1700"/>
            <w:tcMar>
              <w:top w:type="dxa" w:w="90"/>
              <w:left w:type="dxa" w:w="110"/>
              <w:bottom w:type="dxa" w:w="90"/>
              <w:right w:type="dxa" w:w="110"/>
            </w:tcMar>
            <w:vAlign w:val="center"/>
          </w:tcPr>
          <w:p>
            <w:pPr>
              <w:jc w:val="left"/>
            </w:pPr>
            <w:r>
              <w:rPr>
                <w:rFonts w:ascii="Calibri" w:cs="Calibri" w:eastAsia="Calibri" w:hAnsi="Calibri"/>
                <w:b/>
                <w:bCs/>
                <w:sz w:val="17"/>
                <w:szCs w:val="17"/>
              </w:rPr>
              <w:t xml:space="preserve">ContaPyme</w:t>
            </w:r>
          </w:p>
        </w:tc>
        <w:tc>
          <w:tcPr>
            <w:tcW w:type="dxa" w:w="2100"/>
            <w:tcMar>
              <w:top w:type="dxa" w:w="90"/>
              <w:left w:type="dxa" w:w="110"/>
              <w:bottom w:type="dxa" w:w="90"/>
              <w:right w:type="dxa" w:w="110"/>
            </w:tcMar>
            <w:vAlign w:val="center"/>
          </w:tcPr>
          <w:p>
            <w:pPr>
              <w:jc w:val="left"/>
            </w:pPr>
            <w:r>
              <w:rPr>
                <w:rFonts w:ascii="Calibri" w:cs="Calibri" w:eastAsia="Calibri" w:hAnsi="Calibri"/>
                <w:b w:val="false"/>
                <w:bCs w:val="false"/>
                <w:sz w:val="17"/>
                <w:szCs w:val="17"/>
              </w:rPr>
              <w:t xml:space="preserve">No encontrada (hay una oferta separada "IA" sin detalle)</w:t>
            </w:r>
          </w:p>
        </w:tc>
        <w:tc>
          <w:tcPr>
            <w:tcW w:type="dxa" w:w="1750"/>
            <w:tcMar>
              <w:top w:type="dxa" w:w="90"/>
              <w:left w:type="dxa" w:w="110"/>
              <w:bottom w:type="dxa" w:w="90"/>
              <w:right w:type="dxa" w:w="110"/>
            </w:tcMar>
            <w:vAlign w:val="center"/>
          </w:tcPr>
          <w:p>
            <w:pPr>
              <w:jc w:val="left"/>
            </w:pPr>
            <w:r>
              <w:rPr>
                <w:rFonts w:ascii="Calibri" w:cs="Calibri" w:eastAsia="Calibri" w:hAnsi="Calibri"/>
                <w:b w:val="false"/>
                <w:bCs w:val="false"/>
                <w:sz w:val="17"/>
                <w:szCs w:val="17"/>
              </w:rPr>
              <w:t xml:space="preserve">No documentado</w:t>
            </w:r>
          </w:p>
        </w:tc>
        <w:tc>
          <w:tcPr>
            <w:tcW w:type="dxa" w:w="2100"/>
            <w:tcMar>
              <w:top w:type="dxa" w:w="90"/>
              <w:left w:type="dxa" w:w="110"/>
              <w:bottom w:type="dxa" w:w="90"/>
              <w:right w:type="dxa" w:w="110"/>
            </w:tcMar>
            <w:vAlign w:val="center"/>
          </w:tcPr>
          <w:p>
            <w:pPr>
              <w:jc w:val="left"/>
            </w:pPr>
            <w:r>
              <w:rPr>
                <w:rFonts w:ascii="Calibri" w:cs="Calibri" w:eastAsia="Calibri" w:hAnsi="Calibri"/>
                <w:b w:val="false"/>
                <w:bCs w:val="false"/>
                <w:sz w:val="17"/>
                <w:szCs w:val="17"/>
              </w:rPr>
              <w:t xml:space="preserve">Sí -- planes "Contador" con empresas ilimitadas</w:t>
            </w:r>
          </w:p>
        </w:tc>
        <w:tc>
          <w:tcPr>
            <w:tcW w:type="dxa" w:w="1710"/>
            <w:tcMar>
              <w:top w:type="dxa" w:w="90"/>
              <w:left w:type="dxa" w:w="110"/>
              <w:bottom w:type="dxa" w:w="90"/>
              <w:right w:type="dxa" w:w="110"/>
            </w:tcMar>
            <w:vAlign w:val="center"/>
          </w:tcPr>
          <w:p>
            <w:pPr>
              <w:jc w:val="left"/>
            </w:pPr>
            <w:r>
              <w:rPr>
                <w:rFonts w:ascii="Calibri" w:cs="Calibri" w:eastAsia="Calibri" w:hAnsi="Calibri"/>
                <w:b w:val="false"/>
                <w:bCs w:val="false"/>
                <w:sz w:val="17"/>
                <w:szCs w:val="17"/>
              </w:rPr>
              <w:t xml:space="preserve">No públicos en detalle</w:t>
            </w:r>
          </w:p>
        </w:tc>
      </w:tr>
      <w:tr>
        <w:tc>
          <w:tcPr>
            <w:tcW w:type="dxa" w:w="1700"/>
            <w:tcMar>
              <w:top w:type="dxa" w:w="90"/>
              <w:left w:type="dxa" w:w="110"/>
              <w:bottom w:type="dxa" w:w="90"/>
              <w:right w:type="dxa" w:w="110"/>
            </w:tcMar>
            <w:vAlign w:val="center"/>
          </w:tcPr>
          <w:p>
            <w:pPr>
              <w:jc w:val="left"/>
            </w:pPr>
            <w:r>
              <w:rPr>
                <w:rFonts w:ascii="Calibri" w:cs="Calibri" w:eastAsia="Calibri" w:hAnsi="Calibri"/>
                <w:b/>
                <w:bCs/>
                <w:sz w:val="17"/>
                <w:szCs w:val="17"/>
              </w:rPr>
              <w:t xml:space="preserve">Cifrato (YC)</w:t>
            </w:r>
          </w:p>
        </w:tc>
        <w:tc>
          <w:tcPr>
            <w:tcW w:type="dxa" w:w="2100"/>
            <w:tcMar>
              <w:top w:type="dxa" w:w="90"/>
              <w:left w:type="dxa" w:w="110"/>
              <w:bottom w:type="dxa" w:w="90"/>
              <w:right w:type="dxa" w:w="110"/>
            </w:tcMar>
            <w:vAlign w:val="center"/>
          </w:tcPr>
          <w:p>
            <w:pPr>
              <w:jc w:val="left"/>
            </w:pPr>
            <w:r>
              <w:rPr>
                <w:rFonts w:ascii="Calibri" w:cs="Calibri" w:eastAsia="Calibri" w:hAnsi="Calibri"/>
                <w:b w:val="false"/>
                <w:bCs w:val="false"/>
                <w:sz w:val="17"/>
                <w:szCs w:val="17"/>
              </w:rPr>
              <w:t xml:space="preserve">Consenso multi-modelo IA, 98,7% eficacia reportada sobre 1M+ facturas</w:t>
            </w:r>
          </w:p>
        </w:tc>
        <w:tc>
          <w:tcPr>
            <w:tcW w:type="dxa" w:w="1750"/>
            <w:tcMar>
              <w:top w:type="dxa" w:w="90"/>
              <w:left w:type="dxa" w:w="110"/>
              <w:bottom w:type="dxa" w:w="90"/>
              <w:right w:type="dxa" w:w="110"/>
            </w:tcMar>
            <w:vAlign w:val="center"/>
          </w:tcPr>
          <w:p>
            <w:pPr>
              <w:jc w:val="left"/>
            </w:pPr>
            <w:r>
              <w:rPr>
                <w:rFonts w:ascii="Calibri" w:cs="Calibri" w:eastAsia="Calibri" w:hAnsi="Calibri"/>
                <w:b w:val="false"/>
                <w:bCs w:val="false"/>
                <w:sz w:val="17"/>
                <w:szCs w:val="17"/>
              </w:rPr>
              <w:t xml:space="preserve">Sí -- causa impuestos automáticamente</w:t>
            </w:r>
          </w:p>
        </w:tc>
        <w:tc>
          <w:tcPr>
            <w:tcW w:type="dxa" w:w="2100"/>
            <w:tcMar>
              <w:top w:type="dxa" w:w="90"/>
              <w:left w:type="dxa" w:w="110"/>
              <w:bottom w:type="dxa" w:w="90"/>
              <w:right w:type="dxa" w:w="110"/>
            </w:tcMar>
            <w:vAlign w:val="center"/>
          </w:tcPr>
          <w:p>
            <w:pPr>
              <w:jc w:val="left"/>
            </w:pPr>
            <w:r>
              <w:rPr>
                <w:rFonts w:ascii="Calibri" w:cs="Calibri" w:eastAsia="Calibri" w:hAnsi="Calibri"/>
                <w:b w:val="false"/>
                <w:bCs w:val="false"/>
                <w:sz w:val="17"/>
                <w:szCs w:val="17"/>
              </w:rPr>
              <w:t xml:space="preserve">Sí -- exactamente el perfil de Enlaza (firmas con 3-20 empresas)</w:t>
            </w:r>
          </w:p>
        </w:tc>
        <w:tc>
          <w:tcPr>
            <w:tcW w:type="dxa" w:w="1710"/>
            <w:tcMar>
              <w:top w:type="dxa" w:w="90"/>
              <w:left w:type="dxa" w:w="110"/>
              <w:bottom w:type="dxa" w:w="90"/>
              <w:right w:type="dxa" w:w="110"/>
            </w:tcMar>
            <w:vAlign w:val="center"/>
          </w:tcPr>
          <w:p>
            <w:pPr>
              <w:jc w:val="left"/>
            </w:pPr>
            <w:r>
              <w:rPr>
                <w:rFonts w:ascii="Calibri" w:cs="Calibri" w:eastAsia="Calibri" w:hAnsi="Calibri"/>
                <w:b w:val="false"/>
                <w:bCs w:val="false"/>
                <w:sz w:val="17"/>
                <w:szCs w:val="17"/>
              </w:rPr>
              <w:t xml:space="preserve">No público (B2B negociado)</w:t>
            </w:r>
          </w:p>
        </w:tc>
      </w:tr>
      <w:tr>
        <w:tc>
          <w:tcPr>
            <w:tcW w:type="dxa" w:w="1700"/>
            <w:tcMar>
              <w:top w:type="dxa" w:w="90"/>
              <w:left w:type="dxa" w:w="110"/>
              <w:bottom w:type="dxa" w:w="90"/>
              <w:right w:type="dxa" w:w="110"/>
            </w:tcMar>
            <w:vAlign w:val="center"/>
          </w:tcPr>
          <w:p>
            <w:pPr>
              <w:jc w:val="left"/>
            </w:pPr>
            <w:r>
              <w:rPr>
                <w:rFonts w:ascii="Calibri" w:cs="Calibri" w:eastAsia="Calibri" w:hAnsi="Calibri"/>
                <w:b/>
                <w:bCs/>
                <w:sz w:val="17"/>
                <w:szCs w:val="17"/>
              </w:rPr>
              <w:t xml:space="preserve">AX1</w:t>
            </w:r>
          </w:p>
        </w:tc>
        <w:tc>
          <w:tcPr>
            <w:tcW w:type="dxa" w:w="2100"/>
            <w:tcMar>
              <w:top w:type="dxa" w:w="90"/>
              <w:left w:type="dxa" w:w="110"/>
              <w:bottom w:type="dxa" w:w="90"/>
              <w:right w:type="dxa" w:w="110"/>
            </w:tcMar>
            <w:vAlign w:val="center"/>
          </w:tcPr>
          <w:p>
            <w:pPr>
              <w:jc w:val="left"/>
            </w:pPr>
            <w:r>
              <w:rPr>
                <w:rFonts w:ascii="Calibri" w:cs="Calibri" w:eastAsia="Calibri" w:hAnsi="Calibri"/>
                <w:b w:val="false"/>
                <w:bCs w:val="false"/>
                <w:sz w:val="17"/>
                <w:szCs w:val="17"/>
              </w:rPr>
              <w:t xml:space="preserve">Lectura y causación automática de documentos DIAN</w:t>
            </w:r>
          </w:p>
        </w:tc>
        <w:tc>
          <w:tcPr>
            <w:tcW w:type="dxa" w:w="1750"/>
            <w:tcMar>
              <w:top w:type="dxa" w:w="90"/>
              <w:left w:type="dxa" w:w="110"/>
              <w:bottom w:type="dxa" w:w="90"/>
              <w:right w:type="dxa" w:w="110"/>
            </w:tcMar>
            <w:vAlign w:val="center"/>
          </w:tcPr>
          <w:p>
            <w:pPr>
              <w:jc w:val="left"/>
            </w:pPr>
            <w:r>
              <w:rPr>
                <w:rFonts w:ascii="Calibri" w:cs="Calibri" w:eastAsia="Calibri" w:hAnsi="Calibri"/>
                <w:b w:val="false"/>
                <w:bCs w:val="false"/>
                <w:sz w:val="17"/>
                <w:szCs w:val="17"/>
              </w:rPr>
              <w:t xml:space="preserve">Sí -- ReteFuente/ReteIVA/ReteICA explícitas</w:t>
            </w:r>
          </w:p>
        </w:tc>
        <w:tc>
          <w:tcPr>
            <w:tcW w:type="dxa" w:w="2100"/>
            <w:tcMar>
              <w:top w:type="dxa" w:w="90"/>
              <w:left w:type="dxa" w:w="110"/>
              <w:bottom w:type="dxa" w:w="90"/>
              <w:right w:type="dxa" w:w="110"/>
            </w:tcMar>
            <w:vAlign w:val="center"/>
          </w:tcPr>
          <w:p>
            <w:pPr>
              <w:jc w:val="left"/>
            </w:pPr>
            <w:r>
              <w:rPr>
                <w:rFonts w:ascii="Calibri" w:cs="Calibri" w:eastAsia="Calibri" w:hAnsi="Calibri"/>
                <w:b w:val="false"/>
                <w:bCs w:val="false"/>
                <w:sz w:val="17"/>
                <w:szCs w:val="17"/>
              </w:rPr>
              <w:t xml:space="preserve">Sí ("Ax1 Studio", para contadores independientes)</w:t>
            </w:r>
          </w:p>
        </w:tc>
        <w:tc>
          <w:tcPr>
            <w:tcW w:type="dxa" w:w="1710"/>
            <w:tcMar>
              <w:top w:type="dxa" w:w="90"/>
              <w:left w:type="dxa" w:w="110"/>
              <w:bottom w:type="dxa" w:w="90"/>
              <w:right w:type="dxa" w:w="110"/>
            </w:tcMar>
            <w:vAlign w:val="center"/>
          </w:tcPr>
          <w:p>
            <w:pPr>
              <w:jc w:val="left"/>
            </w:pPr>
            <w:r>
              <w:rPr>
                <w:rFonts w:ascii="Calibri" w:cs="Calibri" w:eastAsia="Calibri" w:hAnsi="Calibri"/>
                <w:b w:val="false"/>
                <w:bCs w:val="false"/>
                <w:sz w:val="17"/>
                <w:szCs w:val="17"/>
              </w:rPr>
              <w:t xml:space="preserve">No público</w:t>
            </w:r>
          </w:p>
        </w:tc>
      </w:tr>
      <w:tr>
        <w:tc>
          <w:tcPr>
            <w:tcW w:type="dxa" w:w="1700"/>
            <w:tcMar>
              <w:top w:type="dxa" w:w="90"/>
              <w:left w:type="dxa" w:w="110"/>
              <w:bottom w:type="dxa" w:w="90"/>
              <w:right w:type="dxa" w:w="110"/>
            </w:tcMar>
            <w:vAlign w:val="center"/>
          </w:tcPr>
          <w:p>
            <w:pPr>
              <w:jc w:val="left"/>
            </w:pPr>
            <w:r>
              <w:rPr>
                <w:rFonts w:ascii="Calibri" w:cs="Calibri" w:eastAsia="Calibri" w:hAnsi="Calibri"/>
                <w:b/>
                <w:bCs/>
                <w:sz w:val="17"/>
                <w:szCs w:val="17"/>
              </w:rPr>
              <w:t xml:space="preserve">Back Contable</w:t>
            </w:r>
          </w:p>
        </w:tc>
        <w:tc>
          <w:tcPr>
            <w:tcW w:type="dxa" w:w="2100"/>
            <w:tcMar>
              <w:top w:type="dxa" w:w="90"/>
              <w:left w:type="dxa" w:w="110"/>
              <w:bottom w:type="dxa" w:w="90"/>
              <w:right w:type="dxa" w:w="110"/>
            </w:tcMar>
            <w:vAlign w:val="center"/>
          </w:tcPr>
          <w:p>
            <w:pPr>
              <w:jc w:val="left"/>
            </w:pPr>
            <w:r>
              <w:rPr>
                <w:rFonts w:ascii="Calibri" w:cs="Calibri" w:eastAsia="Calibri" w:hAnsi="Calibri"/>
                <w:b w:val="false"/>
                <w:bCs w:val="false"/>
                <w:sz w:val="17"/>
                <w:szCs w:val="17"/>
              </w:rPr>
              <w:t xml:space="preserve">OCR de XML/PDF en ~3 segundos</w:t>
            </w:r>
          </w:p>
        </w:tc>
        <w:tc>
          <w:tcPr>
            <w:tcW w:type="dxa" w:w="1750"/>
            <w:tcMar>
              <w:top w:type="dxa" w:w="90"/>
              <w:left w:type="dxa" w:w="110"/>
              <w:bottom w:type="dxa" w:w="90"/>
              <w:right w:type="dxa" w:w="110"/>
            </w:tcMar>
            <w:vAlign w:val="center"/>
          </w:tcPr>
          <w:p>
            <w:pPr>
              <w:jc w:val="left"/>
            </w:pPr>
            <w:r>
              <w:rPr>
                <w:rFonts w:ascii="Calibri" w:cs="Calibri" w:eastAsia="Calibri" w:hAnsi="Calibri"/>
                <w:b w:val="false"/>
                <w:bCs w:val="false"/>
                <w:sz w:val="17"/>
                <w:szCs w:val="17"/>
              </w:rPr>
              <w:t xml:space="preserve">Sí, automático</w:t>
            </w:r>
          </w:p>
        </w:tc>
        <w:tc>
          <w:tcPr>
            <w:tcW w:type="dxa" w:w="2100"/>
            <w:tcMar>
              <w:top w:type="dxa" w:w="90"/>
              <w:left w:type="dxa" w:w="110"/>
              <w:bottom w:type="dxa" w:w="90"/>
              <w:right w:type="dxa" w:w="110"/>
            </w:tcMar>
            <w:vAlign w:val="center"/>
          </w:tcPr>
          <w:p>
            <w:pPr>
              <w:jc w:val="left"/>
            </w:pPr>
            <w:r>
              <w:rPr>
                <w:rFonts w:ascii="Calibri" w:cs="Calibri" w:eastAsia="Calibri" w:hAnsi="Calibri"/>
                <w:b w:val="false"/>
                <w:bCs w:val="false"/>
                <w:sz w:val="17"/>
                <w:szCs w:val="17"/>
              </w:rPr>
              <w:t xml:space="preserve">Add-on -- exporta a Siigo/Alegra/Loggro/ContaPyme/World Office</w:t>
            </w:r>
          </w:p>
        </w:tc>
        <w:tc>
          <w:tcPr>
            <w:tcW w:type="dxa" w:w="1710"/>
            <w:tcMar>
              <w:top w:type="dxa" w:w="90"/>
              <w:left w:type="dxa" w:w="110"/>
              <w:bottom w:type="dxa" w:w="90"/>
              <w:right w:type="dxa" w:w="110"/>
            </w:tcMar>
            <w:vAlign w:val="center"/>
          </w:tcPr>
          <w:p>
            <w:pPr>
              <w:jc w:val="left"/>
            </w:pPr>
            <w:r>
              <w:rPr>
                <w:rFonts w:ascii="Calibri" w:cs="Calibri" w:eastAsia="Calibri" w:hAnsi="Calibri"/>
                <w:b w:val="false"/>
                <w:bCs w:val="false"/>
                <w:sz w:val="17"/>
                <w:szCs w:val="17"/>
              </w:rPr>
              <w:t xml:space="preserve">Desde $89.000/mes</w:t>
            </w:r>
          </w:p>
        </w:tc>
      </w:tr>
    </w:tbl>
    <w:p>
      <w:pPr>
        <w:spacing w:after="160" w:line="276"/>
      </w:pPr>
      <w:r>
        <w:rPr>
          <w:rFonts w:ascii="Calibri" w:cs="Calibri" w:eastAsia="Calibri" w:hAnsi="Calibri"/>
          <w:sz w:val="22"/>
          <w:szCs w:val="22"/>
        </w:rPr>
        <w:t xml:space="preserve"/>
      </w:r>
    </w:p>
    <w:p>
      <w:pPr>
        <w:spacing w:after="160" w:line="276"/>
      </w:pPr>
      <w:r>
        <w:rPr>
          <w:rFonts w:ascii="Calibri" w:cs="Calibri" w:eastAsia="Calibri" w:hAnsi="Calibri"/>
          <w:sz w:val="22"/>
          <w:szCs w:val="22"/>
        </w:rPr>
        <w:t xml:space="preserve">Lectura de esto: el hecho de que existan al menos tres startups colombianas distintas vendiendo específicamente "IA que lee facturas y causa automáticamente, para contadores con varios clientes" confirma que el dolor que Enlaza ataca es real y validado por el mercado -- pero Enlaza no tiene el terreno libre. Cifrato en particular ya tiene tracción comercial (US$1M de ARR, respaldo de Y Combinator) con una propuesta casi idéntica, y usa consenso entre varios modelos de IA en vez de uno solo.</w:t>
      </w:r>
    </w:p>
    <w:p>
      <w:pPr>
        <w:pStyle w:val="Heading2"/>
        <w:spacing w:after="140" w:before="320"/>
      </w:pPr>
      <w:r>
        <w:t xml:space="preserve">4.3 Dónde Enlaza es genuinamente competitivo</w:t>
      </w:r>
    </w:p>
    <w:p>
      <w:pPr>
        <w:pStyle w:val="ListParagraph"/>
        <w:numPr>
          <w:ilvl w:val="0"/>
          <w:numId w:val="2"/>
        </w:numPr>
        <w:spacing w:after="100" w:line="270"/>
      </w:pPr>
      <w:r>
        <w:rPr>
          <w:rFonts w:ascii="Calibri" w:cs="Calibri" w:eastAsia="Calibri" w:hAnsi="Calibri"/>
          <w:b/>
          <w:bCs/>
          <w:sz w:val="22"/>
          <w:szCs w:val="22"/>
        </w:rPr>
        <w:t xml:space="preserve">Reglas fiscales colombianas como motor de primera clase: </w:t>
      </w:r>
      <w:r>
        <w:rPr>
          <w:rFonts w:ascii="Calibri" w:cs="Calibri" w:eastAsia="Calibri" w:hAnsi="Calibri"/>
          <w:sz w:val="22"/>
          <w:szCs w:val="22"/>
        </w:rPr>
        <w:t xml:space="preserve">ninguno de los incumbentes grandes documenta públicamente un motor que combine Retención en la Fuente, ReteIVA y ReteICA con reglas especiales de base AIU (vigilancia/aseo, temporales) y umbrales indexados a la UVT por año. Es una ventaja real frente a Siigo/Alegra/World Office/Helisa -- aunque no frente a AX1 o Back Contable, que afirman lo mismo.</w:t>
      </w:r>
    </w:p>
    <w:p>
      <w:pPr>
        <w:pStyle w:val="ListParagraph"/>
        <w:numPr>
          <w:ilvl w:val="0"/>
          <w:numId w:val="2"/>
        </w:numPr>
        <w:spacing w:after="100" w:line="270"/>
      </w:pPr>
      <w:r>
        <w:rPr>
          <w:rFonts w:ascii="Calibri" w:cs="Calibri" w:eastAsia="Calibri" w:hAnsi="Calibri"/>
          <w:b/>
          <w:bCs/>
          <w:sz w:val="22"/>
          <w:szCs w:val="22"/>
        </w:rPr>
        <w:t xml:space="preserve">Perfil fiscal por NIT como dato estructurado y reutilizable: </w:t>
      </w:r>
      <w:r>
        <w:rPr>
          <w:rFonts w:ascii="Calibri" w:cs="Calibri" w:eastAsia="Calibri" w:hAnsi="Calibri"/>
          <w:sz w:val="22"/>
          <w:szCs w:val="22"/>
        </w:rPr>
        <w:t xml:space="preserve">gran contribuyente, autorretenedor, régimen simple -- no se encontró que los incumbentes lo expongan como concepto explícito de producto.</w:t>
      </w:r>
    </w:p>
    <w:p>
      <w:pPr>
        <w:pStyle w:val="ListParagraph"/>
        <w:numPr>
          <w:ilvl w:val="0"/>
          <w:numId w:val="2"/>
        </w:numPr>
        <w:spacing w:after="100" w:line="270"/>
      </w:pPr>
      <w:r>
        <w:rPr>
          <w:rFonts w:ascii="Calibri" w:cs="Calibri" w:eastAsia="Calibri" w:hAnsi="Calibri"/>
          <w:b/>
          <w:bCs/>
          <w:sz w:val="22"/>
          <w:szCs w:val="22"/>
        </w:rPr>
        <w:t xml:space="preserve">PUC personalizado por cliente + PUC estándar en una sola cuenta: </w:t>
      </w:r>
      <w:r>
        <w:rPr>
          <w:rFonts w:ascii="Calibri" w:cs="Calibri" w:eastAsia="Calibri" w:hAnsi="Calibri"/>
          <w:sz w:val="22"/>
          <w:szCs w:val="22"/>
        </w:rPr>
        <w:t xml:space="preserve">Alegra y Siigo resuelven el multi-cliente con productos separados que no necesariamente integran esto con la misma naturalidad.</w:t>
      </w:r>
    </w:p>
    <w:p>
      <w:pPr>
        <w:pStyle w:val="ListParagraph"/>
        <w:numPr>
          <w:ilvl w:val="0"/>
          <w:numId w:val="2"/>
        </w:numPr>
        <w:spacing w:after="100" w:line="270"/>
      </w:pPr>
      <w:r>
        <w:rPr>
          <w:rFonts w:ascii="Calibri" w:cs="Calibri" w:eastAsia="Calibri" w:hAnsi="Calibri"/>
          <w:b/>
          <w:bCs/>
          <w:sz w:val="22"/>
          <w:szCs w:val="22"/>
        </w:rPr>
        <w:t xml:space="preserve">Flujo de borrador/aprobación de dos niveles (factura y luego asiento), con informe de auditoría: </w:t>
      </w:r>
      <w:r>
        <w:rPr>
          <w:rFonts w:ascii="Calibri" w:cs="Calibri" w:eastAsia="Calibri" w:hAnsi="Calibri"/>
          <w:sz w:val="22"/>
          <w:szCs w:val="22"/>
        </w:rPr>
        <w:t xml:space="preserve">se acerca a lo que promete Cifrato, pero entre los incumbentes grandes no suele existir un verdadero segundo nivel de aprobación.</w:t>
      </w:r>
    </w:p>
    <w:p>
      <w:pPr>
        <w:pStyle w:val="ListParagraph"/>
        <w:numPr>
          <w:ilvl w:val="0"/>
          <w:numId w:val="2"/>
        </w:numPr>
        <w:spacing w:after="100" w:line="270"/>
      </w:pPr>
      <w:r>
        <w:rPr>
          <w:rFonts w:ascii="Calibri" w:cs="Calibri" w:eastAsia="Calibri" w:hAnsi="Calibri"/>
          <w:b/>
          <w:bCs/>
          <w:sz w:val="22"/>
          <w:szCs w:val="22"/>
        </w:rPr>
        <w:t xml:space="preserve">Login con Google y roles modernos: </w:t>
      </w:r>
      <w:r>
        <w:rPr>
          <w:rFonts w:ascii="Calibri" w:cs="Calibri" w:eastAsia="Calibri" w:hAnsi="Calibri"/>
          <w:sz w:val="22"/>
          <w:szCs w:val="22"/>
        </w:rPr>
        <w:t xml:space="preserve">fricción de entrada baja frente a Helisa/World Office, más orientados a instalación y parametrización por un asesor.</w:t>
      </w:r>
    </w:p>
    <w:p>
      <w:pPr>
        <w:pStyle w:val="Heading2"/>
        <w:spacing w:after="140" w:before="320"/>
      </w:pPr>
      <w:r>
        <w:t xml:space="preserve">4.4 Dónde Enlaza está por detrás</w:t>
      </w:r>
    </w:p>
    <w:p>
      <w:pPr>
        <w:pStyle w:val="ListParagraph"/>
        <w:numPr>
          <w:ilvl w:val="0"/>
          <w:numId w:val="2"/>
        </w:numPr>
        <w:spacing w:after="100" w:line="270"/>
      </w:pPr>
      <w:r>
        <w:rPr>
          <w:rFonts w:ascii="Calibri" w:cs="Calibri" w:eastAsia="Calibri" w:hAnsi="Calibri"/>
          <w:b/>
          <w:bCs/>
          <w:sz w:val="22"/>
          <w:szCs w:val="22"/>
        </w:rPr>
        <w:t xml:space="preserve">Marca, red de distribución y base instalada: </w:t>
      </w:r>
      <w:r>
        <w:rPr>
          <w:rFonts w:ascii="Calibri" w:cs="Calibri" w:eastAsia="Calibri" w:hAnsi="Calibri"/>
          <w:sz w:val="22"/>
          <w:szCs w:val="22"/>
        </w:rPr>
        <w:t xml:space="preserve">Siigo y Alegra tienen años o décadas de escala regional, ecosistemas de integradores y contenido educativo -- esto no se construye rápido.</w:t>
      </w:r>
    </w:p>
    <w:p>
      <w:pPr>
        <w:pStyle w:val="ListParagraph"/>
        <w:numPr>
          <w:ilvl w:val="0"/>
          <w:numId w:val="2"/>
        </w:numPr>
        <w:spacing w:after="100" w:line="270"/>
      </w:pPr>
      <w:r>
        <w:rPr>
          <w:rFonts w:ascii="Calibri" w:cs="Calibri" w:eastAsia="Calibri" w:hAnsi="Calibri"/>
          <w:b/>
          <w:bCs/>
          <w:sz w:val="22"/>
          <w:szCs w:val="22"/>
        </w:rPr>
        <w:t xml:space="preserve">Superficie funcional de ERP completo: </w:t>
      </w:r>
      <w:r>
        <w:rPr>
          <w:rFonts w:ascii="Calibri" w:cs="Calibri" w:eastAsia="Calibri" w:hAnsi="Calibri"/>
          <w:sz w:val="22"/>
          <w:szCs w:val="22"/>
        </w:rPr>
        <w:t xml:space="preserve">Alegra y Siigo no son solo facturación/contabilidad -- tienen POS, nómina electrónica, CRM, cartera, inventario. Si Enlaza se queda solo en facturación+contabilidad+retenciones, se queda corto como "sistema único" para una pyme.</w:t>
      </w:r>
    </w:p>
    <w:p>
      <w:pPr>
        <w:pStyle w:val="ListParagraph"/>
        <w:numPr>
          <w:ilvl w:val="0"/>
          <w:numId w:val="2"/>
        </w:numPr>
        <w:spacing w:after="100" w:line="270"/>
      </w:pPr>
      <w:r>
        <w:rPr>
          <w:rFonts w:ascii="Calibri" w:cs="Calibri" w:eastAsia="Calibri" w:hAnsi="Calibri"/>
          <w:b/>
          <w:bCs/>
          <w:sz w:val="22"/>
          <w:szCs w:val="22"/>
        </w:rPr>
        <w:t xml:space="preserve">IA multi-modelo para mayor confiabilidad: </w:t>
      </w:r>
      <w:r>
        <w:rPr>
          <w:rFonts w:ascii="Calibri" w:cs="Calibri" w:eastAsia="Calibri" w:hAnsi="Calibri"/>
          <w:sz w:val="22"/>
          <w:szCs w:val="22"/>
        </w:rPr>
        <w:t xml:space="preserve">Cifrato reporta 98,7% de eficacia sobre más de un millón de facturas usando consenso entre varios modelos, una barra de confiabilidad más probada en producción que un sistema basado en un solo modelo.</w:t>
      </w:r>
    </w:p>
    <w:p>
      <w:pPr>
        <w:pStyle w:val="ListParagraph"/>
        <w:numPr>
          <w:ilvl w:val="0"/>
          <w:numId w:val="2"/>
        </w:numPr>
        <w:spacing w:after="100" w:line="270"/>
      </w:pPr>
      <w:r>
        <w:rPr>
          <w:rFonts w:ascii="Calibri" w:cs="Calibri" w:eastAsia="Calibri" w:hAnsi="Calibri"/>
          <w:b/>
          <w:bCs/>
          <w:sz w:val="22"/>
          <w:szCs w:val="22"/>
        </w:rPr>
        <w:t xml:space="preserve">Captura por WhatsApp: </w:t>
      </w:r>
      <w:r>
        <w:rPr>
          <w:rFonts w:ascii="Calibri" w:cs="Calibri" w:eastAsia="Calibri" w:hAnsi="Calibri"/>
          <w:sz w:val="22"/>
          <w:szCs w:val="22"/>
        </w:rPr>
        <w:t xml:space="preserve">Alegra y Siigo ya ofrecen capturar facturas/gastos por foto o voz en WhatsApp -- el canal donde el contador y su cliente pyme ya viven.</w:t>
      </w:r>
    </w:p>
    <w:p>
      <w:pPr>
        <w:pStyle w:val="ListParagraph"/>
        <w:numPr>
          <w:ilvl w:val="0"/>
          <w:numId w:val="2"/>
        </w:numPr>
        <w:spacing w:after="100" w:line="270"/>
      </w:pPr>
      <w:r>
        <w:rPr>
          <w:rFonts w:ascii="Calibri" w:cs="Calibri" w:eastAsia="Calibri" w:hAnsi="Calibri"/>
          <w:b/>
          <w:bCs/>
          <w:sz w:val="22"/>
          <w:szCs w:val="22"/>
        </w:rPr>
        <w:t xml:space="preserve">Conciliación bancaria: </w:t>
      </w:r>
      <w:r>
        <w:rPr>
          <w:rFonts w:ascii="Calibri" w:cs="Calibri" w:eastAsia="Calibri" w:hAnsi="Calibri"/>
          <w:sz w:val="22"/>
          <w:szCs w:val="22"/>
        </w:rPr>
        <w:t xml:space="preserve">función fuerte en Alegra y World Office Enterprise, y explícitamente en el roadmap 2026 de Cifrato -- no aparece como parte del alcance actual de Enlaza, lo cual sería una laguna evidente frente a casi todos los competidores serios.</w:t>
      </w:r>
    </w:p>
    <w:p>
      <w:pPr>
        <w:pStyle w:val="ListParagraph"/>
        <w:numPr>
          <w:ilvl w:val="0"/>
          <w:numId w:val="2"/>
        </w:numPr>
        <w:spacing w:after="100" w:line="270"/>
      </w:pPr>
      <w:r>
        <w:rPr>
          <w:rFonts w:ascii="Calibri" w:cs="Calibri" w:eastAsia="Calibri" w:hAnsi="Calibri"/>
          <w:b/>
          <w:bCs/>
          <w:sz w:val="22"/>
          <w:szCs w:val="22"/>
        </w:rPr>
        <w:t xml:space="preserve">Tracción y validación pública: </w:t>
      </w:r>
      <w:r>
        <w:rPr>
          <w:rFonts w:ascii="Calibri" w:cs="Calibri" w:eastAsia="Calibri" w:hAnsi="Calibri"/>
          <w:sz w:val="22"/>
          <w:szCs w:val="22"/>
        </w:rPr>
        <w:t xml:space="preserve">Cifrato ya tiene ARR y cobertura de prensa (Forbes Colombia); sin métricas de tracción comparables, Enlaza pierde credibilidad frente a un contador evaluando varias opciones nuevas.</w:t>
      </w:r>
    </w:p>
    <w:p>
      <w:pPr>
        <w:pStyle w:val="Heading2"/>
        <w:spacing w:after="140" w:before="320"/>
      </w:pPr>
      <w:r>
        <w:t xml:space="preserve">4.5 Brechas de producto más valiosas para cerrar primero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5460"/>
      </w:tblGrid>
      <w:tr>
        <w:trPr>
          <w:tblHeader/>
        </w:trPr>
        <w:tc>
          <w:tcPr>
            <w:tcW w:type="dxa" w:w="600"/>
            <w:shd w:fill="E8ECEE" w:val="clear"/>
            <w:tcMar>
              <w:top w:type="dxa" w:w="90"/>
              <w:left w:type="dxa" w:w="110"/>
              <w:bottom w:type="dxa" w:w="90"/>
              <w:right w:type="dxa" w:w="110"/>
            </w:tcMar>
            <w:vAlign w:val="center"/>
          </w:tcPr>
          <w:p>
            <w:pPr>
              <w:jc w:val="left"/>
            </w:pPr>
            <w:r>
              <w:rPr>
                <w:rFonts w:ascii="Calibri" w:cs="Calibri" w:eastAsia="Calibri" w:hAnsi="Calibri"/>
                <w:b/>
                <w:bCs/>
                <w:sz w:val="20"/>
                <w:szCs w:val="20"/>
              </w:rPr>
              <w:t xml:space="preserve">#</w:t>
            </w:r>
          </w:p>
        </w:tc>
        <w:tc>
          <w:tcPr>
            <w:tcW w:type="dxa" w:w="3300"/>
            <w:shd w:fill="E8ECEE" w:val="clear"/>
            <w:tcMar>
              <w:top w:type="dxa" w:w="90"/>
              <w:left w:type="dxa" w:w="110"/>
              <w:bottom w:type="dxa" w:w="90"/>
              <w:right w:type="dxa" w:w="110"/>
            </w:tcMar>
            <w:vAlign w:val="center"/>
          </w:tcPr>
          <w:p>
            <w:pPr>
              <w:jc w:val="left"/>
            </w:pPr>
            <w:r>
              <w:rPr>
                <w:rFonts w:ascii="Calibri" w:cs="Calibri" w:eastAsia="Calibri" w:hAnsi="Calibri"/>
                <w:b/>
                <w:bCs/>
                <w:sz w:val="20"/>
                <w:szCs w:val="20"/>
              </w:rPr>
              <w:t xml:space="preserve">Brecha</w:t>
            </w:r>
          </w:p>
        </w:tc>
        <w:tc>
          <w:tcPr>
            <w:tcW w:type="dxa" w:w="5460"/>
            <w:shd w:fill="E8ECEE" w:val="clear"/>
            <w:tcMar>
              <w:top w:type="dxa" w:w="90"/>
              <w:left w:type="dxa" w:w="110"/>
              <w:bottom w:type="dxa" w:w="90"/>
              <w:right w:type="dxa" w:w="110"/>
            </w:tcMar>
            <w:vAlign w:val="center"/>
          </w:tcPr>
          <w:p>
            <w:pPr>
              <w:jc w:val="left"/>
            </w:pPr>
            <w:r>
              <w:rPr>
                <w:rFonts w:ascii="Calibri" w:cs="Calibri" w:eastAsia="Calibri" w:hAnsi="Calibri"/>
                <w:b/>
                <w:bCs/>
                <w:sz w:val="20"/>
                <w:szCs w:val="20"/>
              </w:rPr>
              <w:t xml:space="preserve">Por qué importa</w:t>
            </w:r>
          </w:p>
        </w:tc>
      </w:tr>
      <w:tr>
        <w:tc>
          <w:tcPr>
            <w:tcW w:type="dxa" w:w="600"/>
            <w:tcMar>
              <w:top w:type="dxa" w:w="90"/>
              <w:left w:type="dxa" w:w="110"/>
              <w:bottom w:type="dxa" w:w="90"/>
              <w:right w:type="dxa" w:w="110"/>
            </w:tcMar>
            <w:vAlign w:val="center"/>
          </w:tcPr>
          <w:p>
            <w:pPr>
              <w:jc w:val="center"/>
            </w:pPr>
            <w:r>
              <w:rPr>
                <w:rFonts w:ascii="Calibri" w:cs="Calibri" w:eastAsia="Calibri" w:hAnsi="Calibri"/>
                <w:b/>
                <w:bCs/>
                <w:sz w:val="20"/>
                <w:szCs w:val="20"/>
              </w:rPr>
              <w:t xml:space="preserve">1</w:t>
            </w:r>
          </w:p>
        </w:tc>
        <w:tc>
          <w:tcPr>
            <w:tcW w:type="dxa" w:w="3300"/>
            <w:tcMar>
              <w:top w:type="dxa" w:w="90"/>
              <w:left w:type="dxa" w:w="110"/>
              <w:bottom w:type="dxa" w:w="90"/>
              <w:right w:type="dxa" w:w="110"/>
            </w:tcMar>
            <w:vAlign w:val="center"/>
          </w:tcPr>
          <w:p>
            <w:pPr>
              <w:jc w:val="left"/>
            </w:pPr>
            <w:r>
              <w:rPr>
                <w:rFonts w:ascii="Calibri" w:cs="Calibri" w:eastAsia="Calibri" w:hAnsi="Calibri"/>
                <w:b/>
                <w:bCs/>
                <w:sz w:val="19"/>
                <w:szCs w:val="19"/>
              </w:rPr>
              <w:t xml:space="preserve">Conciliación bancaria automática</w:t>
            </w:r>
          </w:p>
        </w:tc>
        <w:tc>
          <w:tcPr>
            <w:tcW w:type="dxa" w:w="546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Es el siguiente paso que empujan todos los jugadores serios (Alegra, World Office Enterprise, y el roadmap 2026 de Cifrato). Sin esto, Enlaza resuelve solo una parte del ciclo contable mensual.</w:t>
            </w:r>
          </w:p>
        </w:tc>
      </w:tr>
      <w:tr>
        <w:tc>
          <w:tcPr>
            <w:tcW w:type="dxa" w:w="600"/>
            <w:tcMar>
              <w:top w:type="dxa" w:w="90"/>
              <w:left w:type="dxa" w:w="110"/>
              <w:bottom w:type="dxa" w:w="90"/>
              <w:right w:type="dxa" w:w="110"/>
            </w:tcMar>
            <w:vAlign w:val="center"/>
          </w:tcPr>
          <w:p>
            <w:pPr>
              <w:jc w:val="center"/>
            </w:pPr>
            <w:r>
              <w:rPr>
                <w:rFonts w:ascii="Calibri" w:cs="Calibri" w:eastAsia="Calibri" w:hAnsi="Calibri"/>
                <w:b/>
                <w:bCs/>
                <w:sz w:val="20"/>
                <w:szCs w:val="20"/>
              </w:rPr>
              <w:t xml:space="preserve">2</w:t>
            </w:r>
          </w:p>
        </w:tc>
        <w:tc>
          <w:tcPr>
            <w:tcW w:type="dxa" w:w="3300"/>
            <w:tcMar>
              <w:top w:type="dxa" w:w="90"/>
              <w:left w:type="dxa" w:w="110"/>
              <w:bottom w:type="dxa" w:w="90"/>
              <w:right w:type="dxa" w:w="110"/>
            </w:tcMar>
            <w:vAlign w:val="center"/>
          </w:tcPr>
          <w:p>
            <w:pPr>
              <w:jc w:val="left"/>
            </w:pPr>
            <w:r>
              <w:rPr>
                <w:rFonts w:ascii="Calibri" w:cs="Calibri" w:eastAsia="Calibri" w:hAnsi="Calibri"/>
                <w:b/>
                <w:bCs/>
                <w:sz w:val="19"/>
                <w:szCs w:val="19"/>
              </w:rPr>
              <w:t xml:space="preserve">Captura por WhatsApp (foto/voz -&gt; factura o gasto)</w:t>
            </w:r>
          </w:p>
        </w:tc>
        <w:tc>
          <w:tcPr>
            <w:tcW w:type="dxa" w:w="546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Alegra y Siigo ya lo venden como feature central. Es el canal donde el contador y su cliente pyme ya viven -- exigir el portal web es fricción que la competencia ya eliminó.</w:t>
            </w:r>
          </w:p>
        </w:tc>
      </w:tr>
      <w:tr>
        <w:tc>
          <w:tcPr>
            <w:tcW w:type="dxa" w:w="600"/>
            <w:tcMar>
              <w:top w:type="dxa" w:w="90"/>
              <w:left w:type="dxa" w:w="110"/>
              <w:bottom w:type="dxa" w:w="90"/>
              <w:right w:type="dxa" w:w="110"/>
            </w:tcMar>
            <w:vAlign w:val="center"/>
          </w:tcPr>
          <w:p>
            <w:pPr>
              <w:jc w:val="center"/>
            </w:pPr>
            <w:r>
              <w:rPr>
                <w:rFonts w:ascii="Calibri" w:cs="Calibri" w:eastAsia="Calibri" w:hAnsi="Calibri"/>
                <w:b/>
                <w:bCs/>
                <w:sz w:val="20"/>
                <w:szCs w:val="20"/>
              </w:rPr>
              <w:t xml:space="preserve">3</w:t>
            </w:r>
          </w:p>
        </w:tc>
        <w:tc>
          <w:tcPr>
            <w:tcW w:type="dxa" w:w="3300"/>
            <w:tcMar>
              <w:top w:type="dxa" w:w="90"/>
              <w:left w:type="dxa" w:w="110"/>
              <w:bottom w:type="dxa" w:w="90"/>
              <w:right w:type="dxa" w:w="110"/>
            </w:tcMar>
            <w:vAlign w:val="center"/>
          </w:tcPr>
          <w:p>
            <w:pPr>
              <w:jc w:val="left"/>
            </w:pPr>
            <w:r>
              <w:rPr>
                <w:rFonts w:ascii="Calibri" w:cs="Calibri" w:eastAsia="Calibri" w:hAnsi="Calibri"/>
                <w:b/>
                <w:bCs/>
                <w:sz w:val="19"/>
                <w:szCs w:val="19"/>
              </w:rPr>
              <w:t xml:space="preserve">Transparencia/robustez de la precisión de la IA</w:t>
            </w:r>
          </w:p>
        </w:tc>
        <w:tc>
          <w:tcPr>
            <w:tcW w:type="dxa" w:w="546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Cifrato gana credibilidad comunicando una cifra dura (98,7% sobre 1M+ facturas) y arquitectura de consenso multi-modelo. Enlaza debería medir y comunicar su propia tasa de precisión, y evaluar reforzar los campos más sensibles a error.</w:t>
            </w:r>
          </w:p>
        </w:tc>
      </w:tr>
      <w:tr>
        <w:tc>
          <w:tcPr>
            <w:tcW w:type="dxa" w:w="600"/>
            <w:tcMar>
              <w:top w:type="dxa" w:w="90"/>
              <w:left w:type="dxa" w:w="110"/>
              <w:bottom w:type="dxa" w:w="90"/>
              <w:right w:type="dxa" w:w="110"/>
            </w:tcMar>
            <w:vAlign w:val="center"/>
          </w:tcPr>
          <w:p>
            <w:pPr>
              <w:jc w:val="center"/>
            </w:pPr>
            <w:r>
              <w:rPr>
                <w:rFonts w:ascii="Calibri" w:cs="Calibri" w:eastAsia="Calibri" w:hAnsi="Calibri"/>
                <w:b/>
                <w:bCs/>
                <w:sz w:val="20"/>
                <w:szCs w:val="20"/>
              </w:rPr>
              <w:t xml:space="preserve">4</w:t>
            </w:r>
          </w:p>
        </w:tc>
        <w:tc>
          <w:tcPr>
            <w:tcW w:type="dxa" w:w="3300"/>
            <w:tcMar>
              <w:top w:type="dxa" w:w="90"/>
              <w:left w:type="dxa" w:w="110"/>
              <w:bottom w:type="dxa" w:w="90"/>
              <w:right w:type="dxa" w:w="110"/>
            </w:tcMar>
            <w:vAlign w:val="center"/>
          </w:tcPr>
          <w:p>
            <w:pPr>
              <w:jc w:val="left"/>
            </w:pPr>
            <w:r>
              <w:rPr>
                <w:rFonts w:ascii="Calibri" w:cs="Calibri" w:eastAsia="Calibri" w:hAnsi="Calibri"/>
                <w:b/>
                <w:bCs/>
                <w:sz w:val="19"/>
                <w:szCs w:val="19"/>
              </w:rPr>
              <w:t xml:space="preserve">Expandir el perímetro funcional mínimo (nómina y/o POS)</w:t>
            </w:r>
          </w:p>
        </w:tc>
        <w:tc>
          <w:tcPr>
            <w:tcW w:type="dxa" w:w="546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Un contador que gestiona una pyme necesita un solo sistema para todo el ciclo administrativo -- hoy eso lo cubren mejor Alegra/Siigo/World Office, aunque su IA sea más débil.</w:t>
            </w:r>
          </w:p>
        </w:tc>
      </w:tr>
      <w:tr>
        <w:tc>
          <w:tcPr>
            <w:tcW w:type="dxa" w:w="600"/>
            <w:tcMar>
              <w:top w:type="dxa" w:w="90"/>
              <w:left w:type="dxa" w:w="110"/>
              <w:bottom w:type="dxa" w:w="90"/>
              <w:right w:type="dxa" w:w="110"/>
            </w:tcMar>
            <w:vAlign w:val="center"/>
          </w:tcPr>
          <w:p>
            <w:pPr>
              <w:jc w:val="center"/>
            </w:pPr>
            <w:r>
              <w:rPr>
                <w:rFonts w:ascii="Calibri" w:cs="Calibri" w:eastAsia="Calibri" w:hAnsi="Calibri"/>
                <w:b/>
                <w:bCs/>
                <w:sz w:val="20"/>
                <w:szCs w:val="20"/>
              </w:rPr>
              <w:t xml:space="preserve">5</w:t>
            </w:r>
          </w:p>
        </w:tc>
        <w:tc>
          <w:tcPr>
            <w:tcW w:type="dxa" w:w="3300"/>
            <w:tcMar>
              <w:top w:type="dxa" w:w="90"/>
              <w:left w:type="dxa" w:w="110"/>
              <w:bottom w:type="dxa" w:w="90"/>
              <w:right w:type="dxa" w:w="110"/>
            </w:tcMar>
            <w:vAlign w:val="center"/>
          </w:tcPr>
          <w:p>
            <w:pPr>
              <w:jc w:val="left"/>
            </w:pPr>
            <w:r>
              <w:rPr>
                <w:rFonts w:ascii="Calibri" w:cs="Calibri" w:eastAsia="Calibri" w:hAnsi="Calibri"/>
                <w:b/>
                <w:bCs/>
                <w:sz w:val="19"/>
                <w:szCs w:val="19"/>
              </w:rPr>
              <w:t xml:space="preserve">Documentar/visibilizar el manejo de casos fiscales avanzados (AIU, UVT indexado, perfiles fiscales)</w:t>
            </w:r>
          </w:p>
        </w:tc>
        <w:tc>
          <w:tcPr>
            <w:tcW w:type="dxa" w:w="546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Es probablemente donde Enlaza ya es más fuerte que los incumbentes grandes -- pero antes de invertir en más, conviene comprobar frente a AX1 y Back Contable (que afirman lo mismo) si Enlaza realmente lo hace mejor.</w:t>
            </w:r>
          </w:p>
        </w:tc>
      </w:tr>
    </w:tbl>
    <w:p>
      <w:pPr>
        <w:pStyle w:val="Heading2"/>
        <w:spacing w:after="140" w:before="320"/>
      </w:pPr>
      <w:r>
        <w:t xml:space="preserve">4.6 Fuentes</w:t>
      </w:r>
    </w:p>
    <w:p>
      <w:pPr>
        <w:spacing w:after="160" w:line="276"/>
      </w:pPr>
      <w:r>
        <w:rPr>
          <w:rFonts w:ascii="Calibri" w:cs="Calibri" w:eastAsia="Calibri" w:hAnsi="Calibri"/>
          <w:sz w:val="22"/>
          <w:szCs w:val="22"/>
        </w:rPr>
        <w:t xml:space="preserve">Los sitios oficiales de cada proveedor son la fuente más confiable para precios y planes, pero cambian con frecuencia -- conviene reverificar antes de citar una cifra en un documento formal. Las reseñas de Trustpilot/Capterra reflejan muestras pequeñas, útiles como indicio cualitativo, no como medición estadística representativa.</w:t>
      </w:r>
    </w:p>
    <w:p>
      <w:pPr>
        <w:pStyle w:val="ListParagraph"/>
        <w:numPr>
          <w:ilvl w:val="0"/>
          <w:numId w:val="2"/>
        </w:numPr>
        <w:spacing w:after="90"/>
      </w:pPr>
      <w:hyperlink w:history="1" r:id="rIdcet_jvqs42vniky5qpycb">
        <w:r>
          <w:rPr>
            <w:rStyle w:val="Hyperlink"/>
            <w:rFonts w:ascii="Calibri" w:cs="Calibri" w:eastAsia="Calibri" w:hAnsi="Calibri"/>
            <w:sz w:val="20"/>
            <w:szCs w:val="20"/>
          </w:rPr>
          <w:t xml:space="preserve">Precios Siigo</w:t>
        </w:r>
      </w:hyperlink>
    </w:p>
    <w:p>
      <w:pPr>
        <w:pStyle w:val="ListParagraph"/>
        <w:numPr>
          <w:ilvl w:val="0"/>
          <w:numId w:val="2"/>
        </w:numPr>
        <w:spacing w:after="90"/>
      </w:pPr>
      <w:hyperlink w:history="1" r:id="rId4n-kkzqyaozvhn2ykf-05">
        <w:r>
          <w:rPr>
            <w:rStyle w:val="Hyperlink"/>
            <w:rFonts w:ascii="Calibri" w:cs="Calibri" w:eastAsia="Calibri" w:hAnsi="Calibri"/>
            <w:sz w:val="20"/>
            <w:szCs w:val="20"/>
          </w:rPr>
          <w:t xml:space="preserve">Siigo — uso de IA en contabilidad</w:t>
        </w:r>
      </w:hyperlink>
    </w:p>
    <w:p>
      <w:pPr>
        <w:pStyle w:val="ListParagraph"/>
        <w:numPr>
          <w:ilvl w:val="0"/>
          <w:numId w:val="2"/>
        </w:numPr>
        <w:spacing w:after="90"/>
      </w:pPr>
      <w:hyperlink w:history="1" r:id="rIdjccaw6jygtlv9kvbmv8m9">
        <w:r>
          <w:rPr>
            <w:rStyle w:val="Hyperlink"/>
            <w:rFonts w:ascii="Calibri" w:cs="Calibri" w:eastAsia="Calibri" w:hAnsi="Calibri"/>
            <w:sz w:val="20"/>
            <w:szCs w:val="20"/>
          </w:rPr>
          <w:t xml:space="preserve">Back Contable (add-on IA para Siigo/Alegra/etc.)</w:t>
        </w:r>
      </w:hyperlink>
    </w:p>
    <w:p>
      <w:pPr>
        <w:pStyle w:val="ListParagraph"/>
        <w:numPr>
          <w:ilvl w:val="0"/>
          <w:numId w:val="2"/>
        </w:numPr>
        <w:spacing w:after="90"/>
      </w:pPr>
      <w:hyperlink w:history="1" r:id="rIdtejuzfb5xzsvz8_cmv2pp">
        <w:r>
          <w:rPr>
            <w:rStyle w:val="Hyperlink"/>
            <w:rFonts w:ascii="Calibri" w:cs="Calibri" w:eastAsia="Calibri" w:hAnsi="Calibri"/>
            <w:sz w:val="20"/>
            <w:szCs w:val="20"/>
          </w:rPr>
          <w:t xml:space="preserve">Forabi — automatizar facturación en Siigo</w:t>
        </w:r>
      </w:hyperlink>
    </w:p>
    <w:p>
      <w:pPr>
        <w:pStyle w:val="ListParagraph"/>
        <w:numPr>
          <w:ilvl w:val="0"/>
          <w:numId w:val="2"/>
        </w:numPr>
        <w:spacing w:after="90"/>
      </w:pPr>
      <w:hyperlink w:history="1" r:id="rIdvuqaunetslkib2s7m9scb">
        <w:r>
          <w:rPr>
            <w:rStyle w:val="Hyperlink"/>
            <w:rFonts w:ascii="Calibri" w:cs="Calibri" w:eastAsia="Calibri" w:hAnsi="Calibri"/>
            <w:sz w:val="20"/>
            <w:szCs w:val="20"/>
          </w:rPr>
          <w:t xml:space="preserve">Reseñas Siigo — Capterra</w:t>
        </w:r>
      </w:hyperlink>
    </w:p>
    <w:p>
      <w:pPr>
        <w:pStyle w:val="ListParagraph"/>
        <w:numPr>
          <w:ilvl w:val="0"/>
          <w:numId w:val="2"/>
        </w:numPr>
        <w:spacing w:after="90"/>
      </w:pPr>
      <w:hyperlink w:history="1" r:id="rIdj6dmsiprryux24bmpld-9">
        <w:r>
          <w:rPr>
            <w:rStyle w:val="Hyperlink"/>
            <w:rFonts w:ascii="Calibri" w:cs="Calibri" w:eastAsia="Calibri" w:hAnsi="Calibri"/>
            <w:sz w:val="20"/>
            <w:szCs w:val="20"/>
          </w:rPr>
          <w:t xml:space="preserve">Comparativa de software contable — Consultorcontable.com</w:t>
        </w:r>
      </w:hyperlink>
    </w:p>
    <w:p>
      <w:pPr>
        <w:pStyle w:val="ListParagraph"/>
        <w:numPr>
          <w:ilvl w:val="0"/>
          <w:numId w:val="2"/>
        </w:numPr>
        <w:spacing w:after="90"/>
      </w:pPr>
      <w:hyperlink w:history="1" r:id="rIdzq_ywlxxhmp6wmrqeljaz">
        <w:r>
          <w:rPr>
            <w:rStyle w:val="Hyperlink"/>
            <w:rFonts w:ascii="Calibri" w:cs="Calibri" w:eastAsia="Calibri" w:hAnsi="Calibri"/>
            <w:sz w:val="20"/>
            <w:szCs w:val="20"/>
          </w:rPr>
          <w:t xml:space="preserve">Precios Alegra Colombia</w:t>
        </w:r>
      </w:hyperlink>
    </w:p>
    <w:p>
      <w:pPr>
        <w:pStyle w:val="ListParagraph"/>
        <w:numPr>
          <w:ilvl w:val="0"/>
          <w:numId w:val="2"/>
        </w:numPr>
        <w:spacing w:after="90"/>
      </w:pPr>
      <w:hyperlink w:history="1" r:id="rId_iewgfvh6qnnjtdkl-bb4">
        <w:r>
          <w:rPr>
            <w:rStyle w:val="Hyperlink"/>
            <w:rFonts w:ascii="Calibri" w:cs="Calibri" w:eastAsia="Calibri" w:hAnsi="Calibri"/>
            <w:sz w:val="20"/>
            <w:szCs w:val="20"/>
          </w:rPr>
          <w:t xml:space="preserve">Alegra — funcionalidades con IA</w:t>
        </w:r>
      </w:hyperlink>
    </w:p>
    <w:p>
      <w:pPr>
        <w:pStyle w:val="ListParagraph"/>
        <w:numPr>
          <w:ilvl w:val="0"/>
          <w:numId w:val="2"/>
        </w:numPr>
        <w:spacing w:after="90"/>
      </w:pPr>
      <w:hyperlink w:history="1" r:id="rIdrb3epkzf3lydpff5b8bch">
        <w:r>
          <w:rPr>
            <w:rStyle w:val="Hyperlink"/>
            <w:rFonts w:ascii="Calibri" w:cs="Calibri" w:eastAsia="Calibri" w:hAnsi="Calibri"/>
            <w:sz w:val="20"/>
            <w:szCs w:val="20"/>
          </w:rPr>
          <w:t xml:space="preserve">Alegra — registro inteligente de facturas (OCR)</w:t>
        </w:r>
      </w:hyperlink>
    </w:p>
    <w:p>
      <w:pPr>
        <w:pStyle w:val="ListParagraph"/>
        <w:numPr>
          <w:ilvl w:val="0"/>
          <w:numId w:val="2"/>
        </w:numPr>
        <w:spacing w:after="90"/>
      </w:pPr>
      <w:hyperlink w:history="1" r:id="rIdpnteybbiwgt-tkltj4tzv">
        <w:r>
          <w:rPr>
            <w:rStyle w:val="Hyperlink"/>
            <w:rFonts w:ascii="Calibri" w:cs="Calibri" w:eastAsia="Calibri" w:hAnsi="Calibri"/>
            <w:sz w:val="20"/>
            <w:szCs w:val="20"/>
          </w:rPr>
          <w:t xml:space="preserve">Alegra para Contadores (Espacio Contador)</w:t>
        </w:r>
      </w:hyperlink>
    </w:p>
    <w:p>
      <w:pPr>
        <w:pStyle w:val="ListParagraph"/>
        <w:numPr>
          <w:ilvl w:val="0"/>
          <w:numId w:val="2"/>
        </w:numPr>
        <w:spacing w:after="90"/>
      </w:pPr>
      <w:hyperlink w:history="1" r:id="rIds01xq5geobeyyuvb95eg3">
        <w:r>
          <w:rPr>
            <w:rStyle w:val="Hyperlink"/>
            <w:rFonts w:ascii="Calibri" w:cs="Calibri" w:eastAsia="Calibri" w:hAnsi="Calibri"/>
            <w:sz w:val="20"/>
            <w:szCs w:val="20"/>
          </w:rPr>
          <w:t xml:space="preserve">Reseñas Alegra — Trustpilot</w:t>
        </w:r>
      </w:hyperlink>
    </w:p>
    <w:p>
      <w:pPr>
        <w:pStyle w:val="ListParagraph"/>
        <w:numPr>
          <w:ilvl w:val="0"/>
          <w:numId w:val="2"/>
        </w:numPr>
        <w:spacing w:after="90"/>
      </w:pPr>
      <w:hyperlink w:history="1" r:id="rIdl4dcxo14_gazyqrwpnhb_">
        <w:r>
          <w:rPr>
            <w:rStyle w:val="Hyperlink"/>
            <w:rFonts w:ascii="Calibri" w:cs="Calibri" w:eastAsia="Calibri" w:hAnsi="Calibri"/>
            <w:sz w:val="20"/>
            <w:szCs w:val="20"/>
          </w:rPr>
          <w:t xml:space="preserve">World Office — Planes Cloud</w:t>
        </w:r>
      </w:hyperlink>
    </w:p>
    <w:p>
      <w:pPr>
        <w:pStyle w:val="ListParagraph"/>
        <w:numPr>
          <w:ilvl w:val="0"/>
          <w:numId w:val="2"/>
        </w:numPr>
        <w:spacing w:after="90"/>
      </w:pPr>
      <w:hyperlink w:history="1" r:id="rIdpjqsgowvve7qypnvpj_nt">
        <w:r>
          <w:rPr>
            <w:rStyle w:val="Hyperlink"/>
            <w:rFonts w:ascii="Calibri" w:cs="Calibri" w:eastAsia="Calibri" w:hAnsi="Calibri"/>
            <w:sz w:val="20"/>
            <w:szCs w:val="20"/>
          </w:rPr>
          <w:t xml:space="preserve">Helisa Cloud Estándar</w:t>
        </w:r>
      </w:hyperlink>
    </w:p>
    <w:p>
      <w:pPr>
        <w:pStyle w:val="ListParagraph"/>
        <w:numPr>
          <w:ilvl w:val="0"/>
          <w:numId w:val="2"/>
        </w:numPr>
        <w:spacing w:after="90"/>
      </w:pPr>
      <w:hyperlink w:history="1" r:id="rIdgcwltpffnkr0bfvzlpy-d">
        <w:r>
          <w:rPr>
            <w:rStyle w:val="Hyperlink"/>
            <w:rFonts w:ascii="Calibri" w:cs="Calibri" w:eastAsia="Calibri" w:hAnsi="Calibri"/>
            <w:sz w:val="20"/>
            <w:szCs w:val="20"/>
          </w:rPr>
          <w:t xml:space="preserve">Ranking de software contable 2026 — programascontabilidad.com</w:t>
        </w:r>
      </w:hyperlink>
    </w:p>
    <w:p>
      <w:pPr>
        <w:pStyle w:val="ListParagraph"/>
        <w:numPr>
          <w:ilvl w:val="0"/>
          <w:numId w:val="2"/>
        </w:numPr>
        <w:spacing w:after="90"/>
      </w:pPr>
      <w:hyperlink w:history="1" r:id="rIdwfv0s3zujunurl_wnd1vn">
        <w:r>
          <w:rPr>
            <w:rStyle w:val="Hyperlink"/>
            <w:rFonts w:ascii="Calibri" w:cs="Calibri" w:eastAsia="Calibri" w:hAnsi="Calibri"/>
            <w:sz w:val="20"/>
            <w:szCs w:val="20"/>
          </w:rPr>
          <w:t xml:space="preserve">Precios ContaPyme</w:t>
        </w:r>
      </w:hyperlink>
    </w:p>
    <w:p>
      <w:pPr>
        <w:pStyle w:val="ListParagraph"/>
        <w:numPr>
          <w:ilvl w:val="0"/>
          <w:numId w:val="2"/>
        </w:numPr>
        <w:spacing w:after="90"/>
      </w:pPr>
      <w:hyperlink w:history="1" r:id="rIdnqemsyjdcgrwptgkpx_1k">
        <w:r>
          <w:rPr>
            <w:rStyle w:val="Hyperlink"/>
            <w:rFonts w:ascii="Calibri" w:cs="Calibri" w:eastAsia="Calibri" w:hAnsi="Calibri"/>
            <w:sz w:val="20"/>
            <w:szCs w:val="20"/>
          </w:rPr>
          <w:t xml:space="preserve">Cifrato — ronda semilla con Y Combinator (LatamFintech)</w:t>
        </w:r>
      </w:hyperlink>
    </w:p>
    <w:p>
      <w:pPr>
        <w:pStyle w:val="ListParagraph"/>
        <w:numPr>
          <w:ilvl w:val="0"/>
          <w:numId w:val="2"/>
        </w:numPr>
        <w:spacing w:after="90"/>
      </w:pPr>
      <w:hyperlink w:history="1" r:id="rId86dixospvauheab8uq1w-">
        <w:r>
          <w:rPr>
            <w:rStyle w:val="Hyperlink"/>
            <w:rFonts w:ascii="Calibri" w:cs="Calibri" w:eastAsia="Calibri" w:hAnsi="Calibri"/>
            <w:sz w:val="20"/>
            <w:szCs w:val="20"/>
          </w:rPr>
          <w:t xml:space="preserve">Cifrato — cobertura en Forbes Colombia</w:t>
        </w:r>
      </w:hyperlink>
    </w:p>
    <w:p>
      <w:pPr>
        <w:pStyle w:val="ListParagraph"/>
        <w:numPr>
          <w:ilvl w:val="0"/>
          <w:numId w:val="2"/>
        </w:numPr>
        <w:spacing w:after="90"/>
      </w:pPr>
      <w:hyperlink w:history="1" r:id="rId1mhdqx07qx1nkn2lxpwme">
        <w:r>
          <w:rPr>
            <w:rStyle w:val="Hyperlink"/>
            <w:rFonts w:ascii="Calibri" w:cs="Calibri" w:eastAsia="Calibri" w:hAnsi="Calibri"/>
            <w:sz w:val="20"/>
            <w:szCs w:val="20"/>
          </w:rPr>
          <w:t xml:space="preserve">Cifrato — análisis en Pulso Capital</w:t>
        </w:r>
      </w:hyperlink>
    </w:p>
    <w:p>
      <w:pPr>
        <w:pStyle w:val="ListParagraph"/>
        <w:numPr>
          <w:ilvl w:val="0"/>
          <w:numId w:val="2"/>
        </w:numPr>
        <w:spacing w:after="90"/>
      </w:pPr>
      <w:hyperlink w:history="1" r:id="rIdihpkzeox_a3gzsinzmn6c">
        <w:r>
          <w:rPr>
            <w:rStyle w:val="Hyperlink"/>
            <w:rFonts w:ascii="Calibri" w:cs="Calibri" w:eastAsia="Calibri" w:hAnsi="Calibri"/>
            <w:sz w:val="20"/>
            <w:szCs w:val="20"/>
          </w:rPr>
          <w:t xml:space="preserve">Cifrato — sitio oficial</w:t>
        </w:r>
      </w:hyperlink>
    </w:p>
    <w:p>
      <w:pPr>
        <w:pStyle w:val="ListParagraph"/>
        <w:numPr>
          <w:ilvl w:val="0"/>
          <w:numId w:val="2"/>
        </w:numPr>
        <w:spacing w:after="90"/>
      </w:pPr>
      <w:hyperlink w:history="1" r:id="rIdqx0ejqpfou-swejfqvvqb">
        <w:r>
          <w:rPr>
            <w:rStyle w:val="Hyperlink"/>
            <w:rFonts w:ascii="Calibri" w:cs="Calibri" w:eastAsia="Calibri" w:hAnsi="Calibri"/>
            <w:sz w:val="20"/>
            <w:szCs w:val="20"/>
          </w:rPr>
          <w:t xml:space="preserve">AX1 — sitio oficial</w:t>
        </w:r>
      </w:hyperlink>
    </w:p>
    <w:p>
      <w:pPr>
        <w:pStyle w:val="ListParagraph"/>
        <w:numPr>
          <w:ilvl w:val="0"/>
          <w:numId w:val="2"/>
        </w:numPr>
        <w:spacing w:after="90"/>
      </w:pPr>
      <w:hyperlink w:history="1" r:id="rIdb1b-txw8v0senmtsilthc">
        <w:r>
          <w:rPr>
            <w:rStyle w:val="Hyperlink"/>
            <w:rFonts w:ascii="Calibri" w:cs="Calibri" w:eastAsia="Calibri" w:hAnsi="Calibri"/>
            <w:sz w:val="20"/>
            <w:szCs w:val="20"/>
          </w:rPr>
          <w:t xml:space="preserve">Odoo — localización fiscal Colombia</w:t>
        </w:r>
      </w:hyperlink>
    </w:p>
    <w:p>
      <w:r>
        <w:br w:type="page"/>
      </w:r>
    </w:p>
    <w:p>
      <w:pPr>
        <w:pStyle w:val="Heading1"/>
        <w:spacing w:after="200" w:before="420"/>
      </w:pPr>
      <w:r>
        <w:t xml:space="preserve">5. Plan de acción consolidado</w:t>
      </w:r>
    </w:p>
    <w:p>
      <w:pPr>
        <w:spacing w:after="160" w:line="276"/>
      </w:pPr>
      <w:r>
        <w:rPr>
          <w:rFonts w:ascii="Calibri" w:cs="Calibri" w:eastAsia="Calibri" w:hAnsi="Calibri"/>
          <w:sz w:val="22"/>
          <w:szCs w:val="22"/>
        </w:rPr>
        <w:t xml:space="preserve">Todos los hallazgos de los tres informes, en un solo orden de prioridad real -- no por en cuál informe aparecieron.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6960"/>
      </w:tblGrid>
      <w:tr>
        <w:trPr>
          <w:tblHeader/>
        </w:trPr>
        <w:tc>
          <w:tcPr>
            <w:tcW w:type="dxa" w:w="500"/>
            <w:shd w:fill="E8ECEE" w:val="clear"/>
            <w:tcMar>
              <w:top w:type="dxa" w:w="90"/>
              <w:left w:type="dxa" w:w="110"/>
              <w:bottom w:type="dxa" w:w="90"/>
              <w:right w:type="dxa" w:w="110"/>
            </w:tcMar>
            <w:vAlign w:val="center"/>
          </w:tcPr>
          <w:p>
            <w:pPr>
              <w:jc w:val="left"/>
            </w:pPr>
            <w:r>
              <w:rPr>
                <w:rFonts w:ascii="Calibri" w:cs="Calibri" w:eastAsia="Calibri" w:hAnsi="Calibri"/>
                <w:b/>
                <w:bCs/>
                <w:sz w:val="20"/>
                <w:szCs w:val="20"/>
              </w:rPr>
              <w:t xml:space="preserve">#</w:t>
            </w:r>
          </w:p>
        </w:tc>
        <w:tc>
          <w:tcPr>
            <w:tcW w:type="dxa" w:w="1900"/>
            <w:shd w:fill="E8ECEE" w:val="clear"/>
            <w:tcMar>
              <w:top w:type="dxa" w:w="90"/>
              <w:left w:type="dxa" w:w="110"/>
              <w:bottom w:type="dxa" w:w="90"/>
              <w:right w:type="dxa" w:w="110"/>
            </w:tcMar>
            <w:vAlign w:val="center"/>
          </w:tcPr>
          <w:p>
            <w:pPr>
              <w:jc w:val="left"/>
            </w:pPr>
            <w:r>
              <w:rPr>
                <w:rFonts w:ascii="Calibri" w:cs="Calibri" w:eastAsia="Calibri" w:hAnsi="Calibri"/>
                <w:b/>
                <w:bCs/>
                <w:sz w:val="20"/>
                <w:szCs w:val="20"/>
              </w:rPr>
              <w:t xml:space="preserve">Área</w:t>
            </w:r>
          </w:p>
        </w:tc>
        <w:tc>
          <w:tcPr>
            <w:tcW w:type="dxa" w:w="6960"/>
            <w:shd w:fill="E8ECEE" w:val="clear"/>
            <w:tcMar>
              <w:top w:type="dxa" w:w="90"/>
              <w:left w:type="dxa" w:w="110"/>
              <w:bottom w:type="dxa" w:w="90"/>
              <w:right w:type="dxa" w:w="110"/>
            </w:tcMar>
            <w:vAlign w:val="center"/>
          </w:tcPr>
          <w:p>
            <w:pPr>
              <w:jc w:val="left"/>
            </w:pPr>
            <w:r>
              <w:rPr>
                <w:rFonts w:ascii="Calibri" w:cs="Calibri" w:eastAsia="Calibri" w:hAnsi="Calibri"/>
                <w:b/>
                <w:bCs/>
                <w:sz w:val="20"/>
                <w:szCs w:val="20"/>
              </w:rPr>
              <w:t xml:space="preserve">Acción</w:t>
            </w:r>
          </w:p>
        </w:tc>
      </w:tr>
      <w:tr>
        <w:tc>
          <w:tcPr>
            <w:tcW w:type="dxa" w:w="500"/>
            <w:tcMar>
              <w:top w:type="dxa" w:w="90"/>
              <w:left w:type="dxa" w:w="110"/>
              <w:bottom w:type="dxa" w:w="90"/>
              <w:right w:type="dxa" w:w="110"/>
            </w:tcMar>
            <w:vAlign w:val="center"/>
          </w:tcPr>
          <w:p>
            <w:pPr>
              <w:jc w:val="center"/>
            </w:pPr>
            <w:r>
              <w:rPr>
                <w:rFonts w:ascii="Calibri" w:cs="Calibri" w:eastAsia="Calibri" w:hAnsi="Calibri"/>
                <w:b/>
                <w:bCs/>
                <w:sz w:val="20"/>
                <w:szCs w:val="20"/>
              </w:rPr>
              <w:t xml:space="preserve">1</w:t>
            </w:r>
          </w:p>
        </w:tc>
        <w:tc>
          <w:tcPr>
            <w:tcW w:type="dxa" w:w="190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Seguridad</w:t>
            </w:r>
          </w:p>
        </w:tc>
        <w:tc>
          <w:tcPr>
            <w:tcW w:type="dxa" w:w="696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Aplicar el limitador de llamadas a la IA también a la creación de lotes de Carga masiva (hoy es el único punto sin control de costo).</w:t>
            </w:r>
          </w:p>
        </w:tc>
      </w:tr>
      <w:tr>
        <w:tc>
          <w:tcPr>
            <w:tcW w:type="dxa" w:w="500"/>
            <w:tcMar>
              <w:top w:type="dxa" w:w="90"/>
              <w:left w:type="dxa" w:w="110"/>
              <w:bottom w:type="dxa" w:w="90"/>
              <w:right w:type="dxa" w:w="110"/>
            </w:tcMar>
            <w:vAlign w:val="center"/>
          </w:tcPr>
          <w:p>
            <w:pPr>
              <w:jc w:val="center"/>
            </w:pPr>
            <w:r>
              <w:rPr>
                <w:rFonts w:ascii="Calibri" w:cs="Calibri" w:eastAsia="Calibri" w:hAnsi="Calibri"/>
                <w:b/>
                <w:bCs/>
                <w:sz w:val="20"/>
                <w:szCs w:val="20"/>
              </w:rPr>
              <w:t xml:space="preserve">2</w:t>
            </w:r>
          </w:p>
        </w:tc>
        <w:tc>
          <w:tcPr>
            <w:tcW w:type="dxa" w:w="190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Seguridad / Contabilidad</w:t>
            </w:r>
          </w:p>
        </w:tc>
        <w:tc>
          <w:tcPr>
            <w:tcW w:type="dxa" w:w="696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Bloquear la edición de una factura o sus ítems una vez aprobada, y agregar una tabla mínima de auditoría (quién, qué, antes, después, cuándo).</w:t>
            </w:r>
          </w:p>
        </w:tc>
      </w:tr>
      <w:tr>
        <w:tc>
          <w:tcPr>
            <w:tcW w:type="dxa" w:w="500"/>
            <w:tcMar>
              <w:top w:type="dxa" w:w="90"/>
              <w:left w:type="dxa" w:w="110"/>
              <w:bottom w:type="dxa" w:w="90"/>
              <w:right w:type="dxa" w:w="110"/>
            </w:tcMar>
            <w:vAlign w:val="center"/>
          </w:tcPr>
          <w:p>
            <w:pPr>
              <w:jc w:val="center"/>
            </w:pPr>
            <w:r>
              <w:rPr>
                <w:rFonts w:ascii="Calibri" w:cs="Calibri" w:eastAsia="Calibri" w:hAnsi="Calibri"/>
                <w:b/>
                <w:bCs/>
                <w:sz w:val="20"/>
                <w:szCs w:val="20"/>
              </w:rPr>
              <w:t xml:space="preserve">3</w:t>
            </w:r>
          </w:p>
        </w:tc>
        <w:tc>
          <w:tcPr>
            <w:tcW w:type="dxa" w:w="190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Arquitectura</w:t>
            </w:r>
          </w:p>
        </w:tc>
        <w:tc>
          <w:tcPr>
            <w:tcW w:type="dxa" w:w="696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Paginar el listado de facturas y clientes, mover el filtro de fecha a SQL, y no incluir el documento original en base64 en el listado (solo en el detalle).</w:t>
            </w:r>
          </w:p>
        </w:tc>
      </w:tr>
      <w:tr>
        <w:tc>
          <w:tcPr>
            <w:tcW w:type="dxa" w:w="500"/>
            <w:tcMar>
              <w:top w:type="dxa" w:w="90"/>
              <w:left w:type="dxa" w:w="110"/>
              <w:bottom w:type="dxa" w:w="90"/>
              <w:right w:type="dxa" w:w="110"/>
            </w:tcMar>
            <w:vAlign w:val="center"/>
          </w:tcPr>
          <w:p>
            <w:pPr>
              <w:jc w:val="center"/>
            </w:pPr>
            <w:r>
              <w:rPr>
                <w:rFonts w:ascii="Calibri" w:cs="Calibri" w:eastAsia="Calibri" w:hAnsi="Calibri"/>
                <w:b/>
                <w:bCs/>
                <w:sz w:val="20"/>
                <w:szCs w:val="20"/>
              </w:rPr>
              <w:t xml:space="preserve">4</w:t>
            </w:r>
          </w:p>
        </w:tc>
        <w:tc>
          <w:tcPr>
            <w:tcW w:type="dxa" w:w="190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Arquitectura</w:t>
            </w:r>
          </w:p>
        </w:tc>
        <w:tc>
          <w:tcPr>
            <w:tcW w:type="dxa" w:w="696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Hacer que el servidor falle duro (no arranque) si no logra conectar a la base de datos al iniciar.</w:t>
            </w:r>
          </w:p>
        </w:tc>
      </w:tr>
      <w:tr>
        <w:tc>
          <w:tcPr>
            <w:tcW w:type="dxa" w:w="500"/>
            <w:tcMar>
              <w:top w:type="dxa" w:w="90"/>
              <w:left w:type="dxa" w:w="110"/>
              <w:bottom w:type="dxa" w:w="90"/>
              <w:right w:type="dxa" w:w="110"/>
            </w:tcMar>
            <w:vAlign w:val="center"/>
          </w:tcPr>
          <w:p>
            <w:pPr>
              <w:jc w:val="center"/>
            </w:pPr>
            <w:r>
              <w:rPr>
                <w:rFonts w:ascii="Calibri" w:cs="Calibri" w:eastAsia="Calibri" w:hAnsi="Calibri"/>
                <w:b/>
                <w:bCs/>
                <w:sz w:val="20"/>
                <w:szCs w:val="20"/>
              </w:rPr>
              <w:t xml:space="preserve">5</w:t>
            </w:r>
          </w:p>
        </w:tc>
        <w:tc>
          <w:tcPr>
            <w:tcW w:type="dxa" w:w="190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Seguridad</w:t>
            </w:r>
          </w:p>
        </w:tc>
        <w:tc>
          <w:tcPr>
            <w:tcW w:type="dxa" w:w="696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Validar email_verified en el login con Google antes de usar el correo para unir a alguien a una firma por invitación.</w:t>
            </w:r>
          </w:p>
        </w:tc>
      </w:tr>
      <w:tr>
        <w:tc>
          <w:tcPr>
            <w:tcW w:type="dxa" w:w="500"/>
            <w:tcMar>
              <w:top w:type="dxa" w:w="90"/>
              <w:left w:type="dxa" w:w="110"/>
              <w:bottom w:type="dxa" w:w="90"/>
              <w:right w:type="dxa" w:w="110"/>
            </w:tcMar>
            <w:vAlign w:val="center"/>
          </w:tcPr>
          <w:p>
            <w:pPr>
              <w:jc w:val="center"/>
            </w:pPr>
            <w:r>
              <w:rPr>
                <w:rFonts w:ascii="Calibri" w:cs="Calibri" w:eastAsia="Calibri" w:hAnsi="Calibri"/>
                <w:b/>
                <w:bCs/>
                <w:sz w:val="20"/>
                <w:szCs w:val="20"/>
              </w:rPr>
              <w:t xml:space="preserve">6</w:t>
            </w:r>
          </w:p>
        </w:tc>
        <w:tc>
          <w:tcPr>
            <w:tcW w:type="dxa" w:w="190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Seguridad</w:t>
            </w:r>
          </w:p>
        </w:tc>
        <w:tc>
          <w:tcPr>
            <w:tcW w:type="dxa" w:w="696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Ejecutar npm audit fix para resolver las 5 vulnerabilidades moderadas de dependencias.</w:t>
            </w:r>
          </w:p>
        </w:tc>
      </w:tr>
      <w:tr>
        <w:tc>
          <w:tcPr>
            <w:tcW w:type="dxa" w:w="500"/>
            <w:tcMar>
              <w:top w:type="dxa" w:w="90"/>
              <w:left w:type="dxa" w:w="110"/>
              <w:bottom w:type="dxa" w:w="90"/>
              <w:right w:type="dxa" w:w="110"/>
            </w:tcMar>
            <w:vAlign w:val="center"/>
          </w:tcPr>
          <w:p>
            <w:pPr>
              <w:jc w:val="center"/>
            </w:pPr>
            <w:r>
              <w:rPr>
                <w:rFonts w:ascii="Calibri" w:cs="Calibri" w:eastAsia="Calibri" w:hAnsi="Calibri"/>
                <w:b/>
                <w:bCs/>
                <w:sz w:val="20"/>
                <w:szCs w:val="20"/>
              </w:rPr>
              <w:t xml:space="preserve">7</w:t>
            </w:r>
          </w:p>
        </w:tc>
        <w:tc>
          <w:tcPr>
            <w:tcW w:type="dxa" w:w="190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Arquitectura</w:t>
            </w:r>
          </w:p>
        </w:tc>
        <w:tc>
          <w:tcPr>
            <w:tcW w:type="dxa" w:w="696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Agregar al menos una suite de tests de integración que confirme que un usuario de una firma nunca puede leer ni escribir datos de otra.</w:t>
            </w:r>
          </w:p>
        </w:tc>
      </w:tr>
      <w:tr>
        <w:tc>
          <w:tcPr>
            <w:tcW w:type="dxa" w:w="500"/>
            <w:tcMar>
              <w:top w:type="dxa" w:w="90"/>
              <w:left w:type="dxa" w:w="110"/>
              <w:bottom w:type="dxa" w:w="90"/>
              <w:right w:type="dxa" w:w="110"/>
            </w:tcMar>
            <w:vAlign w:val="center"/>
          </w:tcPr>
          <w:p>
            <w:pPr>
              <w:jc w:val="center"/>
            </w:pPr>
            <w:r>
              <w:rPr>
                <w:rFonts w:ascii="Calibri" w:cs="Calibri" w:eastAsia="Calibri" w:hAnsi="Calibri"/>
                <w:b/>
                <w:bCs/>
                <w:sz w:val="20"/>
                <w:szCs w:val="20"/>
              </w:rPr>
              <w:t xml:space="preserve">8</w:t>
            </w:r>
          </w:p>
        </w:tc>
        <w:tc>
          <w:tcPr>
            <w:tcW w:type="dxa" w:w="190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Seguridad</w:t>
            </w:r>
          </w:p>
        </w:tc>
        <w:tc>
          <w:tcPr>
            <w:tcW w:type="dxa" w:w="696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Agregar invalidación real de sesión (versión de token) para que cerrar sesión revoque el JWT, no solo borre la cookie.</w:t>
            </w:r>
          </w:p>
        </w:tc>
      </w:tr>
      <w:tr>
        <w:tc>
          <w:tcPr>
            <w:tcW w:type="dxa" w:w="500"/>
            <w:tcMar>
              <w:top w:type="dxa" w:w="90"/>
              <w:left w:type="dxa" w:w="110"/>
              <w:bottom w:type="dxa" w:w="90"/>
              <w:right w:type="dxa" w:w="110"/>
            </w:tcMar>
            <w:vAlign w:val="center"/>
          </w:tcPr>
          <w:p>
            <w:pPr>
              <w:jc w:val="center"/>
            </w:pPr>
            <w:r>
              <w:rPr>
                <w:rFonts w:ascii="Calibri" w:cs="Calibri" w:eastAsia="Calibri" w:hAnsi="Calibri"/>
                <w:b/>
                <w:bCs/>
                <w:sz w:val="20"/>
                <w:szCs w:val="20"/>
              </w:rPr>
              <w:t xml:space="preserve">9</w:t>
            </w:r>
          </w:p>
        </w:tc>
        <w:tc>
          <w:tcPr>
            <w:tcW w:type="dxa" w:w="190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Seguridad</w:t>
            </w:r>
          </w:p>
        </w:tc>
        <w:tc>
          <w:tcPr>
            <w:tcW w:type="dxa" w:w="696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Validar el tipo real de archivo (primeros bytes) contra el tipo declarado, y poner un tope de tamaño por archivo individual.</w:t>
            </w:r>
          </w:p>
        </w:tc>
      </w:tr>
      <w:tr>
        <w:tc>
          <w:tcPr>
            <w:tcW w:type="dxa" w:w="500"/>
            <w:tcMar>
              <w:top w:type="dxa" w:w="90"/>
              <w:left w:type="dxa" w:w="110"/>
              <w:bottom w:type="dxa" w:w="90"/>
              <w:right w:type="dxa" w:w="110"/>
            </w:tcMar>
            <w:vAlign w:val="center"/>
          </w:tcPr>
          <w:p>
            <w:pPr>
              <w:jc w:val="center"/>
            </w:pPr>
            <w:r>
              <w:rPr>
                <w:rFonts w:ascii="Calibri" w:cs="Calibri" w:eastAsia="Calibri" w:hAnsi="Calibri"/>
                <w:b/>
                <w:bCs/>
                <w:sz w:val="20"/>
                <w:szCs w:val="20"/>
              </w:rPr>
              <w:t xml:space="preserve">10</w:t>
            </w:r>
          </w:p>
        </w:tc>
        <w:tc>
          <w:tcPr>
            <w:tcW w:type="dxa" w:w="190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Arquitectura</w:t>
            </w:r>
          </w:p>
        </w:tc>
        <w:tc>
          <w:tcPr>
            <w:tcW w:type="dxa" w:w="696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Extraer a un archivo compartido el arranque de sesión, los helpers de formato y el armado del payload de guardado de factura, hoy duplicados en escanear.html, masivo.html y revision.html.</w:t>
            </w:r>
          </w:p>
        </w:tc>
      </w:tr>
      <w:tr>
        <w:tc>
          <w:tcPr>
            <w:tcW w:type="dxa" w:w="500"/>
            <w:tcMar>
              <w:top w:type="dxa" w:w="90"/>
              <w:left w:type="dxa" w:w="110"/>
              <w:bottom w:type="dxa" w:w="90"/>
              <w:right w:type="dxa" w:w="110"/>
            </w:tcMar>
            <w:vAlign w:val="center"/>
          </w:tcPr>
          <w:p>
            <w:pPr>
              <w:jc w:val="center"/>
            </w:pPr>
            <w:r>
              <w:rPr>
                <w:rFonts w:ascii="Calibri" w:cs="Calibri" w:eastAsia="Calibri" w:hAnsi="Calibri"/>
                <w:b/>
                <w:bCs/>
                <w:sz w:val="20"/>
                <w:szCs w:val="20"/>
              </w:rPr>
              <w:t xml:space="preserve">11</w:t>
            </w:r>
          </w:p>
        </w:tc>
        <w:tc>
          <w:tcPr>
            <w:tcW w:type="dxa" w:w="190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Producto / Mercado</w:t>
            </w:r>
          </w:p>
        </w:tc>
        <w:tc>
          <w:tcPr>
            <w:tcW w:type="dxa" w:w="696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Evaluar conciliación bancaria automática -- es la función que más empujan los competidores serios en 2026 y hoy no está en el alcance de Enlaza.</w:t>
            </w:r>
          </w:p>
        </w:tc>
      </w:tr>
      <w:tr>
        <w:tc>
          <w:tcPr>
            <w:tcW w:type="dxa" w:w="500"/>
            <w:tcMar>
              <w:top w:type="dxa" w:w="90"/>
              <w:left w:type="dxa" w:w="110"/>
              <w:bottom w:type="dxa" w:w="90"/>
              <w:right w:type="dxa" w:w="110"/>
            </w:tcMar>
            <w:vAlign w:val="center"/>
          </w:tcPr>
          <w:p>
            <w:pPr>
              <w:jc w:val="center"/>
            </w:pPr>
            <w:r>
              <w:rPr>
                <w:rFonts w:ascii="Calibri" w:cs="Calibri" w:eastAsia="Calibri" w:hAnsi="Calibri"/>
                <w:b/>
                <w:bCs/>
                <w:sz w:val="20"/>
                <w:szCs w:val="20"/>
              </w:rPr>
              <w:t xml:space="preserve">12</w:t>
            </w:r>
          </w:p>
        </w:tc>
        <w:tc>
          <w:tcPr>
            <w:tcW w:type="dxa" w:w="190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Producto / Mercado</w:t>
            </w:r>
          </w:p>
        </w:tc>
        <w:tc>
          <w:tcPr>
            <w:tcW w:type="dxa" w:w="696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Evaluar captura de facturas/gastos por WhatsApp (foto o voz) -- canal donde ya vive el contador y su cliente pyme.</w:t>
            </w:r>
          </w:p>
        </w:tc>
      </w:tr>
      <w:tr>
        <w:tc>
          <w:tcPr>
            <w:tcW w:type="dxa" w:w="500"/>
            <w:tcMar>
              <w:top w:type="dxa" w:w="90"/>
              <w:left w:type="dxa" w:w="110"/>
              <w:bottom w:type="dxa" w:w="90"/>
              <w:right w:type="dxa" w:w="110"/>
            </w:tcMar>
            <w:vAlign w:val="center"/>
          </w:tcPr>
          <w:p>
            <w:pPr>
              <w:jc w:val="center"/>
            </w:pPr>
            <w:r>
              <w:rPr>
                <w:rFonts w:ascii="Calibri" w:cs="Calibri" w:eastAsia="Calibri" w:hAnsi="Calibri"/>
                <w:b/>
                <w:bCs/>
                <w:sz w:val="20"/>
                <w:szCs w:val="20"/>
              </w:rPr>
              <w:t xml:space="preserve">13</w:t>
            </w:r>
          </w:p>
        </w:tc>
        <w:tc>
          <w:tcPr>
            <w:tcW w:type="dxa" w:w="190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Producto / Mercado</w:t>
            </w:r>
          </w:p>
        </w:tc>
        <w:tc>
          <w:tcPr>
            <w:tcW w:type="dxa" w:w="696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Medir y comunicar la tasa de precisión de la IA de Enlaza en campos sensibles, para competir con la cifra de confiabilidad que ya comunica Cifrato.</w:t>
            </w:r>
          </w:p>
        </w:tc>
      </w:tr>
      <w:tr>
        <w:tc>
          <w:tcPr>
            <w:tcW w:type="dxa" w:w="500"/>
            <w:tcMar>
              <w:top w:type="dxa" w:w="90"/>
              <w:left w:type="dxa" w:w="110"/>
              <w:bottom w:type="dxa" w:w="90"/>
              <w:right w:type="dxa" w:w="110"/>
            </w:tcMar>
            <w:vAlign w:val="center"/>
          </w:tcPr>
          <w:p>
            <w:pPr>
              <w:jc w:val="center"/>
            </w:pPr>
            <w:r>
              <w:rPr>
                <w:rFonts w:ascii="Calibri" w:cs="Calibri" w:eastAsia="Calibri" w:hAnsi="Calibri"/>
                <w:b/>
                <w:bCs/>
                <w:sz w:val="20"/>
                <w:szCs w:val="20"/>
              </w:rPr>
              <w:t xml:space="preserve">14</w:t>
            </w:r>
          </w:p>
        </w:tc>
        <w:tc>
          <w:tcPr>
            <w:tcW w:type="dxa" w:w="190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Higiene de repo</w:t>
            </w:r>
          </w:p>
        </w:tc>
        <w:tc>
          <w:tcPr>
            <w:tcW w:type="dxa" w:w="6960"/>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Eliminar del repositorio los archivos de conflicto, .DS_Store y los .zip de despliegues viejos.</w:t>
            </w:r>
          </w:p>
        </w:tc>
      </w:tr>
    </w:tbl>
    <w:p>
      <w:pPr>
        <w:spacing w:after="160" w:line="276"/>
      </w:pPr>
      <w:r>
        <w:rPr>
          <w:rFonts w:ascii="Calibri" w:cs="Calibri" w:eastAsia="Calibri" w:hAnsi="Calibri"/>
          <w:sz w:val="22"/>
          <w:szCs w:val="22"/>
        </w:rPr>
        <w:t xml:space="preserve"/>
      </w:r>
    </w:p>
    <w:p>
      <w:pPr>
        <w:spacing w:after="160" w:line="276"/>
      </w:pPr>
      <w:r>
        <w:rPr>
          <w:rFonts w:ascii="Calibri" w:cs="Calibri" w:eastAsia="Calibri" w:hAnsi="Calibri"/>
          <w:sz w:val="22"/>
          <w:szCs w:val="22"/>
        </w:rPr>
        <w:t xml:space="preserve">Los puntos 1 a 6 son los más urgentes (impacto financiero o de integridad de datos). Los puntos 7 a 10 son higiene de ingeniería que reduce el riesgo de que un cambio futuro introduzca un problema nuevo. Los puntos 11 a 13 son decisiones de producto que conviene discutir, no implementar de una vez -- dependen de hacia dónde David quiera llevar a Enlaza frente a la competencia.</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2"/>
        <w:sz w:val="16"/>
        <w:szCs w:val="16"/>
      </w:rPr>
      <w:t xml:space="preserve">Página </w:t>
    </w:r>
    <w:r>
      <w:rPr>
        <w:rFonts w:ascii="Calibri" w:cs="Calibri" w:eastAsia="Calibri" w:hAnsi="Calibri"/>
        <w:color w:val="5A6B72"/>
        <w:sz w:val="16"/>
        <w:szCs w:val="16"/>
      </w:rPr>
      <w:fldChar w:fldCharType="begin"/>
      <w:instrText xml:space="preserve">PAGE</w:instrText>
      <w:fldChar w:fldCharType="separate"/>
      <w:fldChar w:fldCharType="end"/>
    </w:r>
    <w:r>
      <w:rPr>
        <w:rFonts w:ascii="Calibri" w:cs="Calibri" w:eastAsia="Calibri" w:hAnsi="Calibri"/>
        <w:color w:val="5A6B72"/>
        <w:sz w:val="16"/>
        <w:szCs w:val="16"/>
      </w:rPr>
      <w:t xml:space="preserve"> de </w:t>
    </w:r>
    <w:r>
      <w:rPr>
        <w:rFonts w:ascii="Calibri" w:cs="Calibri" w:eastAsia="Calibri" w:hAnsi="Calibri"/>
        <w:color w:val="5A6B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B72"/>
        <w:sz w:val="16"/>
        <w:szCs w:val="16"/>
      </w:rPr>
      <w:t xml:space="preserve">Enlaza — Auditoría integral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20"/>
    </w:pPr>
    <w:rPr>
      <w:rFonts w:ascii="Calibri" w:cs="Calibri" w:eastAsia="Calibri" w:hAnsi="Calibri"/>
      <w:b/>
      <w:bCs/>
      <w:color w:val="1D2A32"/>
      <w:sz w:val="32"/>
      <w:szCs w:val="32"/>
    </w:rPr>
  </w:style>
  <w:style w:type="paragraph" w:styleId="Heading2">
    <w:name w:val="Heading 2"/>
    <w:basedOn w:val="Normal"/>
    <w:next w:val="Normal"/>
    <w:qFormat/>
    <w:pPr>
      <w:spacing w:after="140" w:before="320"/>
    </w:pPr>
    <w:rPr>
      <w:rFonts w:ascii="Calibri" w:cs="Calibri" w:eastAsia="Calibri" w:hAnsi="Calibri"/>
      <w:b/>
      <w:bCs/>
      <w:color w:val="2B5F6B"/>
      <w:sz w:val="26"/>
      <w:szCs w:val="26"/>
    </w:rPr>
  </w:style>
  <w:style w:type="paragraph" w:styleId="Heading3">
    <w:name w:val="Heading 3"/>
    <w:basedOn w:val="Normal"/>
    <w:next w:val="Normal"/>
    <w:qFormat/>
    <w:pPr>
      <w:spacing w:after="100" w:before="220"/>
    </w:pPr>
    <w:rPr>
      <w:rFonts w:ascii="Calibri" w:cs="Calibri" w:eastAsia="Calibri" w:hAnsi="Calibri"/>
      <w:b/>
      <w:bCs/>
      <w:color w:val="1D2A32"/>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et_jvqs42vniky5qpycb" Type="http://schemas.openxmlformats.org/officeDocument/2006/relationships/hyperlink" Target="https://www.siigo.com/precios-siigo/" TargetMode="External"/><Relationship Id="rId4n-kkzqyaozvhn2ykf-05" Type="http://schemas.openxmlformats.org/officeDocument/2006/relationships/hyperlink" Target="https://www.siigo.com/blog/tecnologia-innovacion/uso-de-inteligencia-artificial-contabilidad/" TargetMode="External"/><Relationship Id="rIdjccaw6jygtlv9kvbmv8m9" Type="http://schemas.openxmlformats.org/officeDocument/2006/relationships/hyperlink" Target="https://backcontable.com/" TargetMode="External"/><Relationship Id="rIdtejuzfb5xzsvz8_cmv2pp" Type="http://schemas.openxmlformats.org/officeDocument/2006/relationships/hyperlink" Target="https://forabi.ai/blog/automatizar-facturacion-electronica-siigo" TargetMode="External"/><Relationship Id="rIdvuqaunetslkib2s7m9scb" Type="http://schemas.openxmlformats.org/officeDocument/2006/relationships/hyperlink" Target="https://www.capterra.com/p/209269/Siigo/reviews/" TargetMode="External"/><Relationship Id="rIdj6dmsiprryux24bmpld-9" Type="http://schemas.openxmlformats.org/officeDocument/2006/relationships/hyperlink" Target="https://www.consultorcontable.com/que-software-contable-debo-de-elegir/" TargetMode="External"/><Relationship Id="rIdzq_ywlxxhmp6wmrqeljaz" Type="http://schemas.openxmlformats.org/officeDocument/2006/relationships/hyperlink" Target="https://www.alegra.com/colombia/precios/" TargetMode="External"/><Relationship Id="rId_iewgfvh6qnnjtdkl-bb4" Type="http://schemas.openxmlformats.org/officeDocument/2006/relationships/hyperlink" Target="https://ayuda.alegra.com/col/funcionalidades-con-inteligencia-artificial-ac" TargetMode="External"/><Relationship Id="rIdrb3epkzf3lydpff5b8bch" Type="http://schemas.openxmlformats.org/officeDocument/2006/relationships/hyperlink" Target="https://novedades.alegra.com/registro-inteligente-de-facturas-mediante-ocr/" TargetMode="External"/><Relationship Id="rIdpnteybbiwgt-tkltj4tzv" Type="http://schemas.openxmlformats.org/officeDocument/2006/relationships/hyperlink" Target="https://www.alegra.com/colombia/contadores/" TargetMode="External"/><Relationship Id="rIds01xq5geobeyyuvb95eg3" Type="http://schemas.openxmlformats.org/officeDocument/2006/relationships/hyperlink" Target="https://www.trustpilot.com/review/alegra.com" TargetMode="External"/><Relationship Id="rIdl4dcxo14_gazyqrwpnhb_" Type="http://schemas.openxmlformats.org/officeDocument/2006/relationships/hyperlink" Target="https://worldoffice.com.co/planesCloud.html" TargetMode="External"/><Relationship Id="rIdpjqsgowvve7qypnvpj_nt" Type="http://schemas.openxmlformats.org/officeDocument/2006/relationships/hyperlink" Target="https://helisa.com/producto/cloud-estandar/" TargetMode="External"/><Relationship Id="rIdgcwltpffnkr0bfvzlpy-d" Type="http://schemas.openxmlformats.org/officeDocument/2006/relationships/hyperlink" Target="https://programascontabilidad.com/comparativas-de-software/software-contables-mas-utilizados/" TargetMode="External"/><Relationship Id="rIdwfv0s3zujunurl_wnd1vn" Type="http://schemas.openxmlformats.org/officeDocument/2006/relationships/hyperlink" Target="https://www.contapyme.com/precios/paquetes/cop/" TargetMode="External"/><Relationship Id="rIdnqemsyjdcgrwptgkpx_1k" Type="http://schemas.openxmlformats.org/officeDocument/2006/relationships/hyperlink" Target="https://www.latamfintech.co/articles/fintech-colombiana-cifrato-cierra-ronda-semilla-de-us-1m-con-y-combinator-para-impulsar-su-plataforma-de-contabilidad-con-ia" TargetMode="External"/><Relationship Id="rId86dixospvauheab8uq1w-" Type="http://schemas.openxmlformats.org/officeDocument/2006/relationships/hyperlink" Target="https://forbes.co/2026/03/25/emprendedores/cifrato-plataforma-contabilidad-yc/" TargetMode="External"/><Relationship Id="rId1mhdqx07qx1nkn2lxpwme" Type="http://schemas.openxmlformats.org/officeDocument/2006/relationships/hyperlink" Target="https://pulsocapital.com/cifrato-la-startup-de-21-anos-que-automatiza-la-contabilidad-con-ia-y-apunta-a-us5-millones/" TargetMode="External"/><Relationship Id="rIdihpkzeox_a3gzsinzmn6c" Type="http://schemas.openxmlformats.org/officeDocument/2006/relationships/hyperlink" Target="https://cifrato.ai/en" TargetMode="External"/><Relationship Id="rIdqx0ejqpfou-swejfqvvqb" Type="http://schemas.openxmlformats.org/officeDocument/2006/relationships/hyperlink" Target="https://ax1.co/" TargetMode="External"/><Relationship Id="rIdb1b-txw8v0senmtsilthc" Type="http://schemas.openxmlformats.org/officeDocument/2006/relationships/hyperlink" Target="https://www.odoo.com/documentation/18.0/es_419/applications/finance/fiscal_localizations/colombia.html" TargetMode="External"/><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integral de Enlaza</dc:title>
  <dc:creator>Claude</dc:creator>
  <cp:lastModifiedBy>Un-named</cp:lastModifiedBy>
  <cp:revision>1</cp:revision>
  <dcterms:created xsi:type="dcterms:W3CDTF">2026-10-02T17:57:07.917Z</dcterms:created>
  <dcterms:modified xsi:type="dcterms:W3CDTF">2026-10-02T17:57:07.918Z</dcterms:modified>
</cp:coreProperties>
</file>

<file path=docProps/custom.xml><?xml version="1.0" encoding="utf-8"?>
<Properties xmlns="http://schemas.openxmlformats.org/officeDocument/2006/custom-properties" xmlns:vt="http://schemas.openxmlformats.org/officeDocument/2006/docPropsVTypes"/>
</file>