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Cambria" w:cs="Cambria" w:eastAsia="Cambria" w:hAnsi="Cambria"/>
          <w:b/>
          <w:bCs/>
          <w:sz w:val="72"/>
          <w:szCs w:val="72"/>
        </w:rPr>
        <w:t xml:space="preserve">BULKSTRIKE</w:t>
      </w:r>
    </w:p>
    <w:p>
      <w:pPr>
        <w:spacing w:after="800"/>
        <w:jc w:val="center"/>
      </w:pPr>
      <w:r>
        <w:rPr>
          <w:rFonts w:ascii="Cambria" w:cs="Cambria" w:eastAsia="Cambria" w:hAnsi="Cambria"/>
          <w:i/>
          <w:iCs/>
          <w:sz w:val="32"/>
          <w:szCs w:val="32"/>
        </w:rPr>
        <w:t xml:space="preserve">Stato del Progetto e Piano Strategico</w:t>
      </w:r>
    </w:p>
    <w:p>
      <w:pPr>
        <w:spacing w:after="1600"/>
        <w:jc w:val="center"/>
      </w:pPr>
      <w:r>
        <w:rPr>
          <w:rFonts w:ascii="Garamond" w:cs="Garamond" w:eastAsia="Garamond" w:hAnsi="Garamond"/>
          <w:sz w:val="22"/>
          <w:szCs w:val="22"/>
        </w:rPr>
        <w:t xml:space="preserve">Documento di sintesi del progetto BulkStrike: fonde l'inquadramento strategico e di modello di business con lo stato reale e verificato dell'implementazione, così come documentato nel file di continuità del repository di sviluppo.</w:t>
      </w:r>
    </w:p>
    <w:p>
      <w:pPr>
        <w:spacing w:after="100"/>
        <w:jc w:val="center"/>
      </w:pPr>
      <w:r>
        <w:rPr>
          <w:rFonts w:ascii="Garamond" w:cs="Garamond" w:eastAsia="Garamond" w:hAnsi="Garamond"/>
          <w:b/>
          <w:bCs/>
          <w:sz w:val="24"/>
          <w:szCs w:val="24"/>
        </w:rPr>
        <w:t xml:space="preserve">Davide Pasetti</w:t>
      </w:r>
    </w:p>
    <w:p>
      <w:pPr>
        <w:spacing w:after="100"/>
        <w:jc w:val="center"/>
      </w:pPr>
      <w:r>
        <w:rPr>
          <w:rFonts w:ascii="Garamond" w:cs="Garamond" w:eastAsia="Garamond" w:hAnsi="Garamond"/>
          <w:sz w:val="22"/>
          <w:szCs w:val="22"/>
        </w:rPr>
        <w:t xml:space="preserve">BulkStrike</w:t>
      </w:r>
    </w:p>
    <w:p>
      <w:pPr>
        <w:jc w:val="center"/>
      </w:pPr>
      <w:r>
        <w:rPr>
          <w:rFonts w:ascii="Garamond" w:cs="Garamond" w:eastAsia="Garamond" w:hAnsi="Garamond"/>
          <w:sz w:val="22"/>
          <w:szCs w:val="22"/>
        </w:rPr>
        <w:t xml:space="preserve">22 luglio 2026</w:t>
      </w:r>
    </w:p>
    <w:p>
      <w:r>
        <w:br w:type="page"/>
      </w:r>
    </w:p>
    <w:p>
      <w:pPr>
        <w:spacing w:after="300"/>
      </w:pPr>
      <w:r>
        <w:rPr>
          <w:rFonts w:ascii="Cambria" w:cs="Cambria" w:eastAsia="Cambria" w:hAnsi="Cambria"/>
          <w:b/>
          <w:bCs/>
          <w:sz w:val="32"/>
          <w:szCs w:val="32"/>
        </w:rPr>
        <w:t xml:space="preserve">Indice</w:t>
      </w:r>
    </w:p>
    <w:p>
      <w:pPr>
        <w:tabs>
          <w:tab w:val="right" w:pos="9026" w:leader="dot"/>
        </w:tabs>
        <w:spacing w:after="140"/>
      </w:pPr>
      <w:r>
        <w:rPr>
          <w:rFonts w:ascii="Garamond" w:cs="Garamond" w:eastAsia="Garamond" w:hAnsi="Garamond"/>
          <w:sz w:val="22"/>
          <w:szCs w:val="22"/>
        </w:rPr>
        <w:t xml:space="preserve">Abstract	3</w:t>
      </w:r>
    </w:p>
    <w:p>
      <w:pPr>
        <w:tabs>
          <w:tab w:val="right" w:pos="9026" w:leader="dot"/>
        </w:tabs>
        <w:spacing w:after="140"/>
      </w:pPr>
      <w:r>
        <w:rPr>
          <w:rFonts w:ascii="Garamond" w:cs="Garamond" w:eastAsia="Garamond" w:hAnsi="Garamond"/>
          <w:sz w:val="22"/>
          <w:szCs w:val="22"/>
        </w:rPr>
        <w:t xml:space="preserve">CAPITOLO 1 — INTRODUZIONE E VISIONE	4</w:t>
      </w:r>
    </w:p>
    <w:p>
      <w:pPr>
        <w:tabs>
          <w:tab w:val="right" w:pos="9026" w:leader="dot"/>
        </w:tabs>
        <w:spacing w:after="140"/>
      </w:pPr>
      <w:r>
        <w:rPr>
          <w:rFonts w:ascii="Garamond" w:cs="Garamond" w:eastAsia="Garamond" w:hAnsi="Garamond"/>
          <w:sz w:val="22"/>
          <w:szCs w:val="22"/>
        </w:rPr>
        <w:t xml:space="preserve">CAPITOLO 2 — IL MODELLO DI BUSINESS	5</w:t>
      </w:r>
    </w:p>
    <w:p>
      <w:pPr>
        <w:tabs>
          <w:tab w:val="right" w:pos="9026" w:leader="dot"/>
        </w:tabs>
        <w:spacing w:after="140"/>
      </w:pPr>
      <w:r>
        <w:rPr>
          <w:rFonts w:ascii="Garamond" w:cs="Garamond" w:eastAsia="Garamond" w:hAnsi="Garamond"/>
          <w:sz w:val="22"/>
          <w:szCs w:val="22"/>
        </w:rPr>
        <w:t xml:space="preserve">CAPITOLO 3 — I TRE MECCANISMI DI TRANSAZIONE	7</w:t>
      </w:r>
    </w:p>
    <w:p>
      <w:pPr>
        <w:tabs>
          <w:tab w:val="right" w:pos="9026" w:leader="dot"/>
        </w:tabs>
        <w:spacing w:after="140"/>
      </w:pPr>
      <w:r>
        <w:rPr>
          <w:rFonts w:ascii="Garamond" w:cs="Garamond" w:eastAsia="Garamond" w:hAnsi="Garamond"/>
          <w:sz w:val="22"/>
          <w:szCs w:val="22"/>
        </w:rPr>
        <w:t xml:space="preserve">CAPITOLO 4 — TASSONOMIA DEI SETTORI MERCEOLOGICI E CATALOGO PRODOTTI	9</w:t>
      </w:r>
    </w:p>
    <w:p>
      <w:pPr>
        <w:tabs>
          <w:tab w:val="right" w:pos="9026" w:leader="dot"/>
        </w:tabs>
        <w:spacing w:after="140"/>
      </w:pPr>
      <w:r>
        <w:rPr>
          <w:rFonts w:ascii="Garamond" w:cs="Garamond" w:eastAsia="Garamond" w:hAnsi="Garamond"/>
          <w:sz w:val="22"/>
          <w:szCs w:val="22"/>
        </w:rPr>
        <w:t xml:space="preserve">CAPITOLO 5 — ARCHITETTURA TECNICA E STATO DI IMPLEMENTAZIONE	11</w:t>
      </w:r>
    </w:p>
    <w:p>
      <w:pPr>
        <w:tabs>
          <w:tab w:val="right" w:pos="9026" w:leader="dot"/>
        </w:tabs>
        <w:spacing w:after="140"/>
      </w:pPr>
      <w:r>
        <w:rPr>
          <w:rFonts w:ascii="Garamond" w:cs="Garamond" w:eastAsia="Garamond" w:hAnsi="Garamond"/>
          <w:sz w:val="22"/>
          <w:szCs w:val="22"/>
        </w:rPr>
        <w:t xml:space="preserve">CAPITOLO 6 — SICUREZZA E PROTEZIONE DEI DATI	13</w:t>
      </w:r>
    </w:p>
    <w:p>
      <w:pPr>
        <w:tabs>
          <w:tab w:val="right" w:pos="9026" w:leader="dot"/>
        </w:tabs>
        <w:spacing w:after="140"/>
      </w:pPr>
      <w:r>
        <w:rPr>
          <w:rFonts w:ascii="Garamond" w:cs="Garamond" w:eastAsia="Garamond" w:hAnsi="Garamond"/>
          <w:sz w:val="22"/>
          <w:szCs w:val="22"/>
        </w:rPr>
        <w:t xml:space="preserve">CAPITOLO 7 — PAGAMENTI, ESCROW E STRIPE	14</w:t>
      </w:r>
    </w:p>
    <w:p>
      <w:pPr>
        <w:tabs>
          <w:tab w:val="right" w:pos="9026" w:leader="dot"/>
        </w:tabs>
        <w:spacing w:after="140"/>
      </w:pPr>
      <w:r>
        <w:rPr>
          <w:rFonts w:ascii="Garamond" w:cs="Garamond" w:eastAsia="Garamond" w:hAnsi="Garamond"/>
          <w:sz w:val="22"/>
          <w:szCs w:val="22"/>
        </w:rPr>
        <w:t xml:space="preserve">CAPITOLO 8 — CONFORMITÀ LEGALE, FISCALE E SOCIETARIA	15</w:t>
      </w:r>
    </w:p>
    <w:p>
      <w:pPr>
        <w:tabs>
          <w:tab w:val="right" w:pos="9026" w:leader="dot"/>
        </w:tabs>
        <w:spacing w:after="140"/>
      </w:pPr>
      <w:r>
        <w:rPr>
          <w:rFonts w:ascii="Garamond" w:cs="Garamond" w:eastAsia="Garamond" w:hAnsi="Garamond"/>
          <w:sz w:val="22"/>
          <w:szCs w:val="22"/>
        </w:rPr>
        <w:t xml:space="preserve">CAPITOLO 9 — ANALISI DI MERCATO E POSIZIONAMENTO COMPETITIVO	17</w:t>
      </w:r>
    </w:p>
    <w:p>
      <w:pPr>
        <w:tabs>
          <w:tab w:val="right" w:pos="9026" w:leader="dot"/>
        </w:tabs>
        <w:spacing w:after="140"/>
      </w:pPr>
      <w:r>
        <w:rPr>
          <w:rFonts w:ascii="Garamond" w:cs="Garamond" w:eastAsia="Garamond" w:hAnsi="Garamond"/>
          <w:sz w:val="22"/>
          <w:szCs w:val="22"/>
        </w:rPr>
        <w:t xml:space="preserve">CAPITOLO 10 — RISCHI E MITIGAZIONI	19</w:t>
      </w:r>
    </w:p>
    <w:p>
      <w:pPr>
        <w:tabs>
          <w:tab w:val="right" w:pos="9026" w:leader="dot"/>
        </w:tabs>
        <w:spacing w:after="140"/>
      </w:pPr>
      <w:r>
        <w:rPr>
          <w:rFonts w:ascii="Garamond" w:cs="Garamond" w:eastAsia="Garamond" w:hAnsi="Garamond"/>
          <w:sz w:val="22"/>
          <w:szCs w:val="22"/>
        </w:rPr>
        <w:t xml:space="preserve">CAPITOLO 11 — STATO ATTUALE E ROADMAP	20</w:t>
      </w:r>
    </w:p>
    <w:p>
      <w:pPr>
        <w:tabs>
          <w:tab w:val="right" w:pos="9026" w:leader="dot"/>
        </w:tabs>
        <w:spacing w:after="140"/>
      </w:pPr>
      <w:r>
        <w:rPr>
          <w:rFonts w:ascii="Garamond" w:cs="Garamond" w:eastAsia="Garamond" w:hAnsi="Garamond"/>
          <w:sz w:val="22"/>
          <w:szCs w:val="22"/>
        </w:rPr>
        <w:t xml:space="preserve">CAPITOLO 12 — CONCLUSIONI	22</w:t>
      </w:r>
    </w:p>
    <w:p>
      <w:pPr>
        <w:tabs>
          <w:tab w:val="right" w:pos="9026" w:leader="dot"/>
        </w:tabs>
        <w:spacing w:after="140"/>
      </w:pPr>
      <w:r>
        <w:rPr>
          <w:rFonts w:ascii="Garamond" w:cs="Garamond" w:eastAsia="Garamond" w:hAnsi="Garamond"/>
          <w:sz w:val="22"/>
          <w:szCs w:val="22"/>
        </w:rPr>
        <w:t xml:space="preserve">APPENDICE A — IDENTIFICATIVI TECNICI CHIAVE	23</w:t>
      </w:r>
    </w:p>
    <w:p>
      <w:pPr>
        <w:tabs>
          <w:tab w:val="right" w:pos="9026" w:leader="dot"/>
        </w:tabs>
        <w:spacing w:after="140"/>
      </w:pPr>
      <w:r>
        <w:rPr>
          <w:rFonts w:ascii="Garamond" w:cs="Garamond" w:eastAsia="Garamond" w:hAnsi="Garamond"/>
          <w:sz w:val="22"/>
          <w:szCs w:val="22"/>
        </w:rPr>
        <w:t xml:space="preserve">APPENDICE B — INVENTARIO DOCUMENTALE E FONTI DI VERITÀ	24</w:t>
      </w:r>
    </w:p>
    <w:p>
      <w:r>
        <w:br w:type="page"/>
      </w:r>
    </w:p>
    <w:p>
      <w:pPr>
        <w:pStyle w:val="Heading1"/>
        <w:spacing w:after="240" w:before="200"/>
      </w:pPr>
      <w:r>
        <w:rPr>
          <w:rFonts w:ascii="Cambria" w:cs="Cambria" w:eastAsia="Cambria" w:hAnsi="Cambria"/>
          <w:b/>
          <w:bCs/>
          <w:sz w:val="30"/>
          <w:szCs w:val="30"/>
        </w:rPr>
        <w:t xml:space="preserve">Abstract</w:t>
      </w:r>
    </w:p>
    <w:p>
      <w:pPr>
        <w:spacing w:after="200" w:line="360"/>
        <w:jc w:val="both"/>
      </w:pPr>
      <w:r>
        <w:rPr>
          <w:rFonts w:ascii="Garamond" w:cs="Garamond" w:eastAsia="Garamond" w:hAnsi="Garamond"/>
          <w:sz w:val="22"/>
          <w:szCs w:val="22"/>
        </w:rPr>
        <w:t xml:space="preserve">BulkStrike è un marketplace B2B italiano per l'acquisto aggregato di materie prime sfuse industriali, oggi live in produzione all'indirizzo www.bulkstrike.com. Nato dalla rete e dalle competenze professionali di Davide Pasetti come enologo, il progetto è partito dal settore vitivinicolo ed è stato esteso fino a coprire tredici macro-aree merceologiche e cinquantacinque settori, per un catalogo di 618 prodotti attivi. La piattaforma distingue tre meccanismi di transazione — Acquisto Rapido, Asta a ribasso e Acquisto di gruppo — selezionati automaticamente in base al numero di fornitori disponibili per ciascun prodotto, e genera ricavi principalmente da una commissione flat del 5% sulla spedizione (mai sul valore della materia prima), affiancata in prospettiva da abbonamenti fornitori a più livelli. Il presente documento raccoglie in forma organica il modello di business, la specifica funzionale dei meccanismi live, l'architettura tecnica verificata nel repository e nel database di produzione, lo stato di sicurezza e conformità, l'analisi di mercato e i rischi aperti, chiudendo con lo stato di avanzamento aggiornato al 15 luglio 2026 e i prossimi passi in ordine di priorità.</w:t>
      </w:r>
    </w:p>
    <w:p>
      <w:pPr>
        <w:pStyle w:val="Heading1"/>
        <w:pageBreakBefore/>
        <w:spacing w:after="240" w:before="200"/>
      </w:pPr>
      <w:r>
        <w:rPr>
          <w:rFonts w:ascii="Cambria" w:cs="Cambria" w:eastAsia="Cambria" w:hAnsi="Cambria"/>
          <w:b/>
          <w:bCs/>
          <w:sz w:val="30"/>
          <w:szCs w:val="30"/>
        </w:rPr>
        <w:t xml:space="preserve">CAPITOLO 1 — INTRODUZIONE E VISIONE</w:t>
      </w:r>
    </w:p>
    <w:p>
      <w:pPr>
        <w:spacing w:after="200" w:line="360"/>
        <w:jc w:val="both"/>
      </w:pPr>
      <w:r>
        <w:rPr>
          <w:rFonts w:ascii="Garamond" w:cs="Garamond" w:eastAsia="Garamond" w:hAnsi="Garamond"/>
          <w:sz w:val="22"/>
          <w:szCs w:val="22"/>
        </w:rPr>
        <w:t xml:space="preserve">BulkStrike nasce per rispondere a un problema strutturale dell'approvvigionamento industriale italiano: la stragrande maggioranza delle imprese manifatturiere e di trasformazione del paese sono piccole e medie imprese che, acquistando materie prime sfuse in volumi individualmente modesti, si trovano sistematicamente in una posizione di svantaggio negoziale rispetto ai grandi gruppi capaci di ottenere condizioni di quantità migliori. A questo si aggiunge un mercato frammentato in migliaia di fornitori di piccola e media dimensione, prezzi negoziati bilateralmente senza un reale confronto competitivo, e processi di verifica documentale dei fornitori lenti e spesso ripetuti da ogni singolo acquirente in modo indipendente.</w:t>
      </w:r>
    </w:p>
    <w:p>
      <w:pPr>
        <w:spacing w:after="200" w:line="360"/>
        <w:jc w:val="both"/>
      </w:pPr>
      <w:r>
        <w:rPr>
          <w:rFonts w:ascii="Garamond" w:cs="Garamond" w:eastAsia="Garamond" w:hAnsi="Garamond"/>
          <w:sz w:val="22"/>
          <w:szCs w:val="22"/>
        </w:rPr>
        <w:t xml:space="preserve">Il progetto ha una genesi concreta e non astratta: è partito dal settore enologico, sfruttando la rete professionale e la competenza diretta di Davide Pasetti come enologo, per poi essere esteso in modo incrementale fino alle attuali tredici macro-aree merceologiche. Questa origine settoriale specifica, piuttosto che un lancio simultaneo su più verticali, ha permesso di validare il meccanismo di aggregazione della domanda e di asta a ribasso in un contesto dove il fondatore aveva già credibilità e contatti diretti con i fornitori, prima di estendere il modello a settori merceologicamente più distanti.</w:t>
      </w:r>
    </w:p>
    <w:p>
      <w:pPr>
        <w:spacing w:after="200" w:line="360"/>
        <w:jc w:val="both"/>
      </w:pPr>
      <w:r>
        <w:rPr>
          <w:rFonts w:ascii="Garamond" w:cs="Garamond" w:eastAsia="Garamond" w:hAnsi="Garamond"/>
          <w:sz w:val="22"/>
          <w:szCs w:val="22"/>
        </w:rPr>
        <w:t xml:space="preserve">Alla data di redazione la piattaforma non è un prototipo ma un sistema in produzione, con un dominio proprio (bulkstrike.com), un database applicativo reale su Supabase, un motore d'asta pienamente funzionante e un primo circuito di pagamento Stripe collegato in modalità test. La visione dichiarata del progetto è "API-first / headless": la piattaforma è pensata per essere utilizzabile non solo da persone attraverso l'interfaccia web, ma in prospettiva anche da sistemi ERP o agenti AI attraverso un server MCP e API OpenAPI dedicate, ad oggi ancora obiettivi futuri e non funzionalità live.</w:t>
      </w:r>
    </w:p>
    <w:p>
      <w:pPr>
        <w:pStyle w:val="Heading1"/>
        <w:pageBreakBefore/>
        <w:spacing w:after="240" w:before="200"/>
      </w:pPr>
      <w:r>
        <w:rPr>
          <w:rFonts w:ascii="Cambria" w:cs="Cambria" w:eastAsia="Cambria" w:hAnsi="Cambria"/>
          <w:b/>
          <w:bCs/>
          <w:sz w:val="30"/>
          <w:szCs w:val="30"/>
        </w:rPr>
        <w:t xml:space="preserve">CAPITOLO 2 — IL MODELLO DI BUSINESS</w:t>
      </w:r>
    </w:p>
    <w:p>
      <w:pPr>
        <w:pStyle w:val="Heading2"/>
        <w:spacing w:after="160" w:before="280"/>
      </w:pPr>
      <w:r>
        <w:rPr>
          <w:rFonts w:ascii="Cambria" w:cs="Cambria" w:eastAsia="Cambria" w:hAnsi="Cambria"/>
          <w:b/>
          <w:bCs/>
          <w:sz w:val="24"/>
          <w:szCs w:val="24"/>
        </w:rPr>
        <w:t xml:space="preserve">2.1 Struttura societaria</w:t>
      </w:r>
    </w:p>
    <w:p>
      <w:pPr>
        <w:spacing w:after="200" w:line="360"/>
        <w:jc w:val="both"/>
      </w:pPr>
      <w:r>
        <w:rPr>
          <w:rFonts w:ascii="Garamond" w:cs="Garamond" w:eastAsia="Garamond" w:hAnsi="Garamond"/>
          <w:sz w:val="22"/>
          <w:szCs w:val="22"/>
        </w:rPr>
        <w:t xml:space="preserve">BulkStrike sarà costituita come società a responsabilità limitata autonoma, con partita IVA, conti correnti e contabilità separati da Società Agricola Pasetti S.S., la cantina di famiglia da cui il progetto trae origine professionale. Questa separazione societaria è un vincolo esplicito e non negoziabile del progetto, così come l'uso di un account Stripe nuovo e dedicato a BulkStrike, mai collegato all'account Stripe della cantina già in uso per pasettistore.com. Ad oggi l'account Stripe di BulkStrike opera in modalità test, con le chiavi configurate su Vercel come variabili riservate.</w:t>
      </w:r>
    </w:p>
    <w:p>
      <w:pPr>
        <w:pStyle w:val="Heading2"/>
        <w:spacing w:after="160" w:before="280"/>
      </w:pPr>
      <w:r>
        <w:rPr>
          <w:rFonts w:ascii="Cambria" w:cs="Cambria" w:eastAsia="Cambria" w:hAnsi="Cambria"/>
          <w:b/>
          <w:bCs/>
          <w:sz w:val="24"/>
          <w:szCs w:val="24"/>
        </w:rPr>
        <w:t xml:space="preserve">2.2 Fonti di ricavo</w:t>
      </w:r>
    </w:p>
    <w:p>
      <w:pPr>
        <w:spacing w:after="200" w:line="360"/>
        <w:jc w:val="both"/>
      </w:pPr>
      <w:r>
        <w:rPr>
          <w:rFonts w:ascii="Garamond" w:cs="Garamond" w:eastAsia="Garamond" w:hAnsi="Garamond"/>
          <w:sz w:val="22"/>
          <w:szCs w:val="22"/>
        </w:rPr>
        <w:t xml:space="preserve">La fonte di ricavo primaria e già verificata nei trigger di produzione è una commissione flat del 5% applicata al valore della spedizione, non al valore della materia prima scambiata: la commissione sulla merce è pari a zero in entrambi i flussi di pagamento oggi previsti, quello tradizionale e quello in escrow. A questa commissione si aggiungono, a carico del compratore, costi di servizio generati da trigger dedicati, inclusa la commissione di elaborazione del pagamento quando si utilizza il circuito escrow.</w:t>
      </w:r>
    </w:p>
    <w:p>
      <w:pPr>
        <w:spacing w:after="200" w:line="360"/>
        <w:jc w:val="both"/>
      </w:pPr>
      <w:r>
        <w:rPr>
          <w:rFonts w:ascii="Garamond" w:cs="Garamond" w:eastAsia="Garamond" w:hAnsi="Garamond"/>
          <w:sz w:val="22"/>
          <w:szCs w:val="22"/>
        </w:rPr>
        <w:t xml:space="preserve">Una seconda leva di ricavo è pianificata ma non ancora attiva commercialmente: un sistema di abbonamenti per i fornitori articolato su tre livelli — un piano gratuito, un piano Pro a 29 euro al mese o 299 euro all'anno con periodo di prova di quattordici giorni, e un piano Enterprise a 99 euro al mese o 999 euro all'anno che include accesso API e MCP oltre ad analytics avanzate. La struttura dati per questi abbonamenti esiste già nel database (tabella subscription_plans, con i piani già seminati), ma il billing non è ancora collegato a Stripe e non risultano abbonamenti attivi alla data di redazione. È esplicitamente escluso dal modello qualunque prodotto di finanza o factoring, così come qualsiasi interesse generato sul float trattenuto in escrow, per restare entro i vincoli della normativa PSD2 sui servizi di pagamento.</w:t>
      </w:r>
    </w:p>
    <w:p>
      <w:pPr>
        <w:pStyle w:val="Heading2"/>
        <w:spacing w:after="160" w:before="280"/>
      </w:pPr>
      <w:r>
        <w:rPr>
          <w:rFonts w:ascii="Cambria" w:cs="Cambria" w:eastAsia="Cambria" w:hAnsi="Cambria"/>
          <w:b/>
          <w:bCs/>
          <w:sz w:val="24"/>
          <w:szCs w:val="24"/>
        </w:rPr>
        <w:t xml:space="preserve">2.3 Perché questo modello</w:t>
      </w:r>
    </w:p>
    <w:p>
      <w:pPr>
        <w:spacing w:after="200" w:line="360"/>
        <w:jc w:val="both"/>
      </w:pPr>
      <w:r>
        <w:rPr>
          <w:rFonts w:ascii="Garamond" w:cs="Garamond" w:eastAsia="Garamond" w:hAnsi="Garamond"/>
          <w:sz w:val="22"/>
          <w:szCs w:val="22"/>
        </w:rPr>
        <w:t xml:space="preserve">Azzerare la commissione sul valore della materia prima, concentrando il ricavo sulla spedizione, è una scelta di posizionamento prima ancora che finanziaria: elimina l'obiezione più comune all'adozione di un marketplace B2B nel commercio di materie prime, cioè il timore che l'intermediazione digitale eroda margini già sottili. Poiché BulkStrike deve comunque coordinare la spedizione per garantire che l'acquirente riceva merce conforme nei tempi concordati, applicare la commissione lì allinea l'incentivo della piattaforma a quello degli utenti: il ricavo cresce con il volume fisico di merce effettivamente scambiata e spedita, non con il prezzo nominale del prodotto. Gli abbonamenti fornitori, quando saranno attivati, aggiungeranno un flusso di ricavo ricorrente e prevedibile, indipendente dal volume di transazioni in un dato periodo.</w:t>
      </w:r>
    </w:p>
    <w:p>
      <w:pPr>
        <w:pStyle w:val="Heading1"/>
        <w:pageBreakBefore/>
        <w:spacing w:after="240" w:before="200"/>
      </w:pPr>
      <w:r>
        <w:rPr>
          <w:rFonts w:ascii="Cambria" w:cs="Cambria" w:eastAsia="Cambria" w:hAnsi="Cambria"/>
          <w:b/>
          <w:bCs/>
          <w:sz w:val="30"/>
          <w:szCs w:val="30"/>
        </w:rPr>
        <w:t xml:space="preserve">CAPITOLO 3 — I TRE MECCANISMI DI TRANSAZIONE</w:t>
      </w:r>
    </w:p>
    <w:p>
      <w:pPr>
        <w:pStyle w:val="Heading2"/>
        <w:spacing w:after="160" w:before="280"/>
      </w:pPr>
      <w:r>
        <w:rPr>
          <w:rFonts w:ascii="Cambria" w:cs="Cambria" w:eastAsia="Cambria" w:hAnsi="Cambria"/>
          <w:b/>
          <w:bCs/>
          <w:sz w:val="24"/>
          <w:szCs w:val="24"/>
        </w:rPr>
        <w:t xml:space="preserve">3.1 Acquisto Rapido</w:t>
      </w:r>
    </w:p>
    <w:p>
      <w:pPr>
        <w:spacing w:after="200" w:line="360"/>
        <w:jc w:val="both"/>
      </w:pPr>
      <w:r>
        <w:rPr>
          <w:rFonts w:ascii="Garamond" w:cs="Garamond" w:eastAsia="Garamond" w:hAnsi="Garamond"/>
          <w:sz w:val="22"/>
          <w:szCs w:val="22"/>
        </w:rPr>
        <w:t xml:space="preserve">Nell'Acquisto Rapido il compratore sceglie la quantità desiderata e vede l'elenco dei fornitori disponibili con un prezzo "tutto incluso": può quindi scegliere di procedere con il fornitore più economico oppure, consapevolmente, con un fornitore più caro ma percepito come migliore per qualità o affidabilità. È il canale per chi ha bisogno di comprare subito, senza attendere l'esito di un processo competitivo.</w:t>
      </w:r>
    </w:p>
    <w:p>
      <w:pPr>
        <w:pStyle w:val="Heading2"/>
        <w:spacing w:after="160" w:before="280"/>
      </w:pPr>
      <w:r>
        <w:rPr>
          <w:rFonts w:ascii="Cambria" w:cs="Cambria" w:eastAsia="Cambria" w:hAnsi="Cambria"/>
          <w:b/>
          <w:bCs/>
          <w:sz w:val="24"/>
          <w:szCs w:val="24"/>
        </w:rPr>
        <w:t xml:space="preserve">3.2 Asta a ribasso</w:t>
      </w:r>
    </w:p>
    <w:p>
      <w:pPr>
        <w:spacing w:after="200" w:line="360"/>
        <w:jc w:val="both"/>
      </w:pPr>
      <w:r>
        <w:rPr>
          <w:rFonts w:ascii="Garamond" w:cs="Garamond" w:eastAsia="Garamond" w:hAnsi="Garamond"/>
          <w:sz w:val="22"/>
          <w:szCs w:val="22"/>
        </w:rPr>
        <w:t xml:space="preserve">L'Asta a ribasso opera a livello di singolo prodotto, con un ciclo di sette giorni. Il quantitativo minimo necessario per aprire un'asta è configurabile dall'amministratore per ciascun prodotto (il campo products.min_pool_pallets, con default a un pallet), e le quantità sono espresse nei formati di vendita propri del prodotto — sacchi, pallet, container o chilogrammi personalizzati. Durante l'asta i fornitori restano anonimi, identificati solo come "Fornitore #N", fino alla chiusura. L'asta chiude sempre al termine del ciclo previsto, seguita da una fase di controproposta anti-sniping della durata massima di dieci minuti, pensata per impedire che un'offerta dell'ultimo istante alteri l'esito senza dare la possibilità di reagire agli altri partecipanti.</w:t>
      </w:r>
    </w:p>
    <w:p>
      <w:pPr>
        <w:pStyle w:val="Heading2"/>
        <w:spacing w:after="160" w:before="280"/>
      </w:pPr>
      <w:r>
        <w:rPr>
          <w:rFonts w:ascii="Cambria" w:cs="Cambria" w:eastAsia="Cambria" w:hAnsi="Cambria"/>
          <w:b/>
          <w:bCs/>
          <w:sz w:val="24"/>
          <w:szCs w:val="24"/>
        </w:rPr>
        <w:t xml:space="preserve">3.3 Acquisto di gruppo</w:t>
      </w:r>
    </w:p>
    <w:p>
      <w:pPr>
        <w:spacing w:after="200" w:line="360"/>
        <w:jc w:val="both"/>
      </w:pPr>
      <w:r>
        <w:rPr>
          <w:rFonts w:ascii="Garamond" w:cs="Garamond" w:eastAsia="Garamond" w:hAnsi="Garamond"/>
          <w:sz w:val="22"/>
          <w:szCs w:val="22"/>
        </w:rPr>
        <w:t xml:space="preserve">Dal 14 luglio è stata introdotta una distinzione operativa fondamentale, in base al numero di fornitori disponibili per il prodotto. Quando i fornitori disponibili sono due o più, si attiva l'Asta a ribasso completa, con competizione reale e offerte live come descritto sopra. Quando il fornitore disponibile è esattamente uno, si attiva invece un meccanismo distinto, l'Acquisto di gruppo: qui la domanda viene comunque aggregata tra più acquirenti, ma solo per sbloccare gli scaglioni di sconto sul volume al prezzo fisso dell'unico fornitore, senza alcuna competizione né logica di "vince il più economico". L'interfaccia utente cambia automaticamente in base al numero di fornitori disponibili restituito dalla funzione get_pool_detail, cosicché l'acquirente veda sempre il meccanismo effettivamente in vigore per quel prodotto senza doverlo dedurre da solo.</w:t>
      </w:r>
    </w:p>
    <w:p>
      <w:pPr>
        <w:pStyle w:val="Heading2"/>
        <w:spacing w:after="160" w:before="280"/>
      </w:pPr>
      <w:r>
        <w:rPr>
          <w:rFonts w:ascii="Cambria" w:cs="Cambria" w:eastAsia="Cambria" w:hAnsi="Cambria"/>
          <w:b/>
          <w:bCs/>
          <w:sz w:val="24"/>
          <w:szCs w:val="24"/>
        </w:rPr>
        <w:t xml:space="preserve">3.4 Perché la distinzione conta</w:t>
      </w:r>
    </w:p>
    <w:p>
      <w:pPr>
        <w:spacing w:after="200" w:line="360"/>
        <w:jc w:val="both"/>
      </w:pPr>
      <w:r>
        <w:rPr>
          <w:rFonts w:ascii="Garamond" w:cs="Garamond" w:eastAsia="Garamond" w:hAnsi="Garamond"/>
          <w:sz w:val="22"/>
          <w:szCs w:val="22"/>
        </w:rPr>
        <w:t xml:space="preserve">Questa distinzione a tre vie non è solo un dettaglio implementativo: è anche il perno della conformità legale della piattaforma sulle materie prime agricole grezze, trattata nel dettaglio nel capitolo 8. In sintesi, il divieto normativo di sottoporre alcuni prodotti agricoli grezzi a un meccanismo di asta competitiva riguarda specificamente l'Asta a ribasso con due o più fornitori; l'Acquisto di gruppo, non prevedendo competizione né fissazione di prezzo tra fornitori, resta un meccanismo legittimo anche per quei prodotti, ed è per questo che il sistema instrada automaticamente ogni prodotto verso il meccanismo corretto in base ai fornitori realmente disponibili.</w:t>
      </w:r>
    </w:p>
    <w:p>
      <w:pPr>
        <w:pStyle w:val="Heading1"/>
        <w:pageBreakBefore/>
        <w:spacing w:after="240" w:before="200"/>
      </w:pPr>
      <w:r>
        <w:rPr>
          <w:rFonts w:ascii="Cambria" w:cs="Cambria" w:eastAsia="Cambria" w:hAnsi="Cambria"/>
          <w:b/>
          <w:bCs/>
          <w:sz w:val="30"/>
          <w:szCs w:val="30"/>
        </w:rPr>
        <w:t xml:space="preserve">CAPITOLO 4 — TASSONOMIA DEI SETTORI MERCEOLOGICI E CATALOGO PRODOTTI</w:t>
      </w:r>
    </w:p>
    <w:p>
      <w:pPr>
        <w:spacing w:after="200" w:line="360"/>
        <w:jc w:val="both"/>
      </w:pPr>
      <w:r>
        <w:rPr>
          <w:rFonts w:ascii="Garamond" w:cs="Garamond" w:eastAsia="Garamond" w:hAnsi="Garamond"/>
          <w:sz w:val="22"/>
          <w:szCs w:val="22"/>
        </w:rPr>
        <w:t xml:space="preserve">Il catalogo reale, fonte di verità nel database Supabase e non in file Excel o CSV storici ormai superati, conta oggi 618 prodotti organizzati in tredici macro-aree e cinquantacinque settori (tabelle products, sectors, product_sectors, macro_areas). Le tredici macro-aree sono ordinate per prossimità di filiera, da un estremo agricolo fino ai materiali pesanti, passando per la chimica — un ordine unico letto dalla funzione get_taxonomy e riutilizzato ovunque nell'interfaccia, dal menu di navigazione al catalogo ai filtri di ricerca. L'elenco completo e nominale delle tredici macro-aree e dei cinquantacinque settori non è stato estratto in questa sessione di lavoro e andrebbe recuperato direttamente dalla funzione get_taxonomy o dalle tabelle sectors/macro_areas prima di essere pubblicato in qualunque materiale esterno, per evitare di riportare nomi di settore ipotizzati anziché reali.</w:t>
      </w:r>
    </w:p>
    <w:p>
      <w:pPr>
        <w:spacing w:after="200" w:line="360"/>
        <w:jc w:val="both"/>
      </w:pPr>
      <w:r>
        <w:rPr>
          <w:rFonts w:ascii="Garamond" w:cs="Garamond" w:eastAsia="Garamond" w:hAnsi="Garamond"/>
          <w:sz w:val="22"/>
          <w:szCs w:val="22"/>
        </w:rPr>
        <w:t xml:space="preserve">Ogni prodotto ha un attributo di "grado" che ne qualifica la destinazione d'uso — tecnico, alimentare o farmaceutico — e due categorie di documentazione allegata: la scheda di sicurezza e la scheda tecnica, i cui link sono conservati rispettivamente nei campi products.scheda_sicurezza_url e products.scheda_tecnica_url. Un disallineamento tra codice CAS e nome del prodotto ha reso necessario un secondo import basato sul nome canonico anziché sul CAS, perché quest'ultimo presentava duplicati e refusi che assegnavano lo stesso link a prodotti distinti; il risultato di questo secondo passaggio è 357 prodotti con scheda di sicurezza e 294 con scheda tecnica collegate correttamente. Oltre alla scheda tecnica sintetica, dal 15 luglio esiste una tabella dedicata, product_specs, in formato lungo (un identificativo, il prodotto di riferimento, il campo, il valore e un ordine di visualizzazione), popolata con 2.931 righe relative a 332 prodotti importate preservando fedelmente la codifica Unicode originale (per distinguere correttamente, ad esempio, il simbolo micro dalla lettera greca mu, o i trattini e apici tipografici). Ventisei prodotti restano senza specifiche tecniche disponibili e mostrano un messaggio dedicato anziché campi vuoti o fittizi.</w:t>
      </w:r>
    </w:p>
    <w:p>
      <w:pPr>
        <w:spacing w:after="200" w:line="360"/>
        <w:jc w:val="both"/>
      </w:pPr>
      <w:r>
        <w:rPr>
          <w:rFonts w:ascii="Garamond" w:cs="Garamond" w:eastAsia="Garamond" w:hAnsi="Garamond"/>
          <w:sz w:val="22"/>
          <w:szCs w:val="22"/>
        </w:rPr>
        <w:t xml:space="preserve">Per le materie prime agricole, la piattaforma integra prezzi di riferimento reali espressi in euro al chilogrammo nella tabella market_price_history, alimentata dalle quotazioni ISMEA sui cereali e dalla Camera di Commercio (CUN) sul grano duro; dal 15 luglio sono stati aggiunti anche i semi oleosi (semi di soia, indicativamente tra 0,44 e 0,45 euro al chilogrammo, e farina di estrazione di soia, tra 0,37 e 0,40 euro al chilogrammo), portando a sette il numero di prodotti con prezzo diretto tracciato; il sorgo resta l'unico prodotto non quotato da ISMEA e quindi privo di prezzo diretto. Per tutti gli altri prodotti del catalogo, un secondo sistema di indici di tendenza settoriale attinge ai Prezzi alla Produzione Industriale (PPI) pubblicati da Eurostat per il mercato domestico italiano, oggi con nove serie NACE (tra cui prodotti siderurgici, metalli non ferrosi, materie plastiche, chimica, alimentare, prodotti petroliferi, farmaceutica, minerali non metallici e carta), mappate prodotto per prodotto tramite il campo products.market_index_nace. La copertura complessiva tra prezzo diretto e indice di settore raggiunge 617 prodotti su 618, pari al 99,8% del catalogo, con l'accortezza che gli indici Eurostat sono numeri indice a base 2021=100 e non prezzi in euro, ed è quindi obbligatorio etichettarli sempre come "indice di settore — fonte Eurostat" per non ingenerare confusione con un prezzo reale.</w:t>
      </w:r>
    </w:p>
    <w:p>
      <w:pPr>
        <w:spacing w:after="200" w:line="360"/>
        <w:jc w:val="both"/>
      </w:pPr>
      <w:r>
        <w:rPr>
          <w:rFonts w:ascii="Garamond" w:cs="Garamond" w:eastAsia="Garamond" w:hAnsi="Garamond"/>
          <w:sz w:val="22"/>
          <w:szCs w:val="22"/>
        </w:rPr>
        <w:t xml:space="preserve">A completamento del quadro sulla verifica dei fornitori, resta valido come riferimento concettuale — pur non essendo ancora implementato come gate di onboarding fornitore nella piattaforma — l'insieme di certificazioni e normative tipiche di ciascun ambito merceologico coperto da BulkStrike: il quadro REACH e CLP con relative schede dati di sicurezza per la chimica, gli standard HACCP, BRCGS Food, IFS Food e FSSC 22000 per l'alimentare, le Good Manufacturing Practice e la Farmacopea Europea con le relative ispezioni AIFA per il farmaceutico, la certificazione di filiera EuCertPlast per la plastica riciclata, il certificato di controllo materiali EN 10204 per i metalli, la norma ISO 22716 e il Regolamento CE 1223/2009 per la cosmetica, la marcatura CE ai sensi del Regolamento UE 305/2011 per i prodotti da costruzione, la certificazione biologica ai sensi del Regolamento UE 2018/848 e lo standard GlobalG.A.P. per le materie prime agricole. Oggi, concretamente, l'equivalente funzionante di questa due diligence è rappresentato dalle schede SDS/TDS allegate a livello di prodotto e dalle specifiche tecniche strutturate in product_specs, mentre un sistema di verifica delle certificazioni a livello di singolo fornitore resta un possibile sviluppo futuro, da valutare in base a quanto effettivamente richiesto dagli acquirenti nei settori più normati.</w:t>
      </w:r>
    </w:p>
    <w:p>
      <w:pPr>
        <w:pStyle w:val="Heading1"/>
        <w:pageBreakBefore/>
        <w:spacing w:after="240" w:before="200"/>
      </w:pPr>
      <w:r>
        <w:rPr>
          <w:rFonts w:ascii="Cambria" w:cs="Cambria" w:eastAsia="Cambria" w:hAnsi="Cambria"/>
          <w:b/>
          <w:bCs/>
          <w:sz w:val="30"/>
          <w:szCs w:val="30"/>
        </w:rPr>
        <w:t xml:space="preserve">CAPITOLO 5 — ARCHITETTURA TECNICA E STATO DI IMPLEMENTAZIONE</w:t>
      </w:r>
    </w:p>
    <w:p>
      <w:pPr>
        <w:pStyle w:val="Heading2"/>
        <w:spacing w:after="160" w:before="280"/>
      </w:pPr>
      <w:r>
        <w:rPr>
          <w:rFonts w:ascii="Cambria" w:cs="Cambria" w:eastAsia="Cambria" w:hAnsi="Cambria"/>
          <w:b/>
          <w:bCs/>
          <w:sz w:val="24"/>
          <w:szCs w:val="24"/>
        </w:rPr>
        <w:t xml:space="preserve">5.1 Stack e hosting</w:t>
      </w:r>
    </w:p>
    <w:p>
      <w:pPr>
        <w:spacing w:after="200" w:line="360"/>
        <w:jc w:val="both"/>
      </w:pPr>
      <w:r>
        <w:rPr>
          <w:rFonts w:ascii="Garamond" w:cs="Garamond" w:eastAsia="Garamond" w:hAnsi="Garamond"/>
          <w:sz w:val="22"/>
          <w:szCs w:val="22"/>
        </w:rPr>
        <w:t xml:space="preserve">Il frontend e il backend applicativo sono realizzati in Next.js 16 con Turbopack e cacheComponents, ospitati su Vercel; il repository di riferimento è Davide-Pasetti/nextjs-with-supabase sul branch main. Il database, l'autenticazione, le funzionalità realtime e la schedulazione dei job periodici sono affidati a Supabase (progetto uufueekpxboygcotqvhu), con le migration versionate nella cartella supabase/migrations, funzioni RPC definite con SECURITY DEFINER e search_path fissato per sicurezza, e Row Level Security attiva su tutte le tabelle.</w:t>
      </w:r>
    </w:p>
    <w:p>
      <w:pPr>
        <w:pStyle w:val="Heading2"/>
        <w:spacing w:after="160" w:before="280"/>
      </w:pPr>
      <w:r>
        <w:rPr>
          <w:rFonts w:ascii="Cambria" w:cs="Cambria" w:eastAsia="Cambria" w:hAnsi="Cambria"/>
          <w:b/>
          <w:bCs/>
          <w:sz w:val="24"/>
          <w:szCs w:val="24"/>
        </w:rPr>
        <w:t xml:space="preserve">5.2 Automazioni e job schedulati</w:t>
      </w:r>
    </w:p>
    <w:p>
      <w:pPr>
        <w:spacing w:after="200" w:line="360"/>
        <w:jc w:val="both"/>
      </w:pPr>
      <w:r>
        <w:rPr>
          <w:rFonts w:ascii="Garamond" w:cs="Garamond" w:eastAsia="Garamond" w:hAnsi="Garamond"/>
          <w:sz w:val="22"/>
          <w:szCs w:val="22"/>
        </w:rPr>
        <w:t xml:space="preserve">La schedulazione periodica è gestita da pg_cron direttamente nel database. I job attivi includono la chiusura delle aste ogni minuto e la relativa segnalazione di chiusura imminente, la finalizzazione dei pool, il rilascio automatico delle consegne alle tre di notte, l'ingestione settimanale dei prezzi ISMEA il giovedì alle 19:00 UTC e dei prezzi CUN il lunedì alle 18:00 UTC, l'aggiornamento mensile degli indici Eurostat l'ottavo giorno del mese alle 6:00 UTC, e un controllo settimanale di freschezza dell'intera pipeline dei dati di mercato ogni venerdì alle 8:00 UTC, attivo dal 15 luglio.</w:t>
      </w:r>
    </w:p>
    <w:p>
      <w:pPr>
        <w:pStyle w:val="Heading2"/>
        <w:spacing w:after="160" w:before="280"/>
      </w:pPr>
      <w:r>
        <w:rPr>
          <w:rFonts w:ascii="Cambria" w:cs="Cambria" w:eastAsia="Cambria" w:hAnsi="Cambria"/>
          <w:b/>
          <w:bCs/>
          <w:sz w:val="24"/>
          <w:szCs w:val="24"/>
        </w:rPr>
        <w:t xml:space="preserve">5.3 Funzioni edge e canali di comunicazione</w:t>
      </w:r>
    </w:p>
    <w:p>
      <w:pPr>
        <w:spacing w:after="200" w:line="360"/>
        <w:jc w:val="both"/>
      </w:pPr>
      <w:r>
        <w:rPr>
          <w:rFonts w:ascii="Garamond" w:cs="Garamond" w:eastAsia="Garamond" w:hAnsi="Garamond"/>
          <w:sz w:val="22"/>
          <w:szCs w:val="22"/>
        </w:rPr>
        <w:t xml:space="preserve">Le funzioni edge di Supabase coprono un assistente AI basato sulle API Claude (con azioni operative e una modalità di supporto anche per utenti anonimi), l'ingestione dei tre flussi di prezzo di mercato descritti nel capitolo precedente, la generazione dei QR code d'ordine, l'invio delle email di conferma consegna, e il controllo di freschezza della pipeline prezzi che invia un'email di allarme a davide@bulkstrike.com tramite Resend quando una fonte è in ritardo — oltre otto giorni per ISMEA o CUN, oltre trentacinque per Eurostat. Il provider di posta transazionale è Resend; la chiave RESEND_API_KEY, mancante fino al 15 luglio, è oggi correttamente configurata come segreto della funzione edge ed è un prerequisito operativo per qualunque invio email dalla piattaforma. Ad oggi l'unico invio email realmente automatico è la conferma di consegna innescata dal pannello amministrativo; le altre email transazionali si accodano nella tabella emails_outbox ma non hanno ancora un meccanismo automatico di invio (si veda il capitolo 11). È inoltre attiva un'integrazione con l'API Cloud di WhatsApp Business per un canale di assistente ordini via WhatsApp, sebbene lo schema delle relative tabelle non sia ancora versionato nelle migration. L'archiviazione di file pubblici, in particolare il video di presentazione mostrato in home page, è affidata a un bucket pubblico di Supabase Storage denominato "marketing". L'intera applicazione è monolingua italiana, senza alcuna infrastruttura di internazionalizzazione.</w:t>
      </w:r>
    </w:p>
    <w:p>
      <w:pPr>
        <w:pStyle w:val="Heading2"/>
        <w:spacing w:after="160" w:before="280"/>
      </w:pPr>
      <w:r>
        <w:rPr>
          <w:rFonts w:ascii="Cambria" w:cs="Cambria" w:eastAsia="Cambria" w:hAnsi="Cambria"/>
          <w:b/>
          <w:bCs/>
          <w:sz w:val="24"/>
          <w:szCs w:val="24"/>
        </w:rPr>
        <w:t xml:space="preserve">5.4 Funzionalità live rivolte all'utente</w:t>
      </w:r>
    </w:p>
    <w:p>
      <w:pPr>
        <w:spacing w:after="200" w:line="360"/>
        <w:jc w:val="both"/>
      </w:pPr>
      <w:r>
        <w:rPr>
          <w:rFonts w:ascii="Garamond" w:cs="Garamond" w:eastAsia="Garamond" w:hAnsi="Garamond"/>
          <w:sz w:val="22"/>
          <w:szCs w:val="22"/>
        </w:rPr>
        <w:t xml:space="preserve">Oltre al catalogo e ai meccanismi d'asta descritti nel capitolo 3, la piattaforma offre registrazione e login tramite Supabase Auth con profili distinti per acquirente, fornitore, corriere e amministratore di piattaforma; directory pubbliche di 189 fornitori e 7 corrieri e un catalogo navigabile senza necessità di login, con però i contatti e i dati sensibili del fornitore protetti come descritto nel capitolo 6. È presente un componente dedicato per le bandiere dei paesi, realizzato con SVG inline per evitare i problemi di visualizzazione delle emoji bandiera su sistemi Windows. Il flusso di Acquisto Rapido include carrello e checkout multi-fornitore con gestione della spedizione, ordini con QR di ricezione e conferma di consegna via email. Una pagina pubblica dedicata, "Andamento prezzi", introdotta il 14 luglio, offre uno screener in stile terminale di mercato filtrabile per le tredici macro-aree, con il prezzo attuale BulkStrike e la variazione da inizio anno per ciascun prodotto; espandendo un prodotto compare un grafico a due linee, una con lo storico proprietario dei prezzi BulkStrike ricavato dalle transazioni confermate (aste e Acquisto Rapido) e una con il riferimento esterno ISMEA, CUN o l'indice di settore Eurostat, esplicitamente etichettato come tale e su asse separato; se manca una delle due serie si mostra solo l'altra, e se mancano entrambe compare un messaggio esplicito piuttosto che un grafico vuoto. La home page è stata rinnovata per mostrare solo dati reali — nessuna statistica inventata — con l'asta più vicina alla chiusura, la griglia delle aste attive, un riquadro "Market Intelligence" con i prezzi agricoli reali e gli indici settoriali Eurostat, e un video di presentazione muto e verticale accanto alla spiegazione testuale del funzionamento in tre passaggi. La navigazione principale è stata riorganizzata nelle voci Aste attive, Prodotti, Andamento prezzi, Fornitori e Corrieri. Sono inoltre disponibili messaggistica diretta tra acquirente e fornitore, una lista preferiti, pannelli amministrativi per prodotti e formati di vendita, apertura asta e gestione ordini post-consegna, un controllo di salute del circuito Stripe riservato agli amministratori, e l'assistente AI in-app affiancato dal canale WhatsApp. La pagina legale (termini e condizioni, privacy, cookie) risulta non aggiornata e cita ancora Railway come infrastruttura, un refuso da correggere descritto nel capitolo 8.</w:t>
      </w:r>
    </w:p>
    <w:p>
      <w:pPr>
        <w:pStyle w:val="Heading1"/>
        <w:pageBreakBefore/>
        <w:spacing w:after="240" w:before="200"/>
      </w:pPr>
      <w:r>
        <w:rPr>
          <w:rFonts w:ascii="Cambria" w:cs="Cambria" w:eastAsia="Cambria" w:hAnsi="Cambria"/>
          <w:b/>
          <w:bCs/>
          <w:sz w:val="30"/>
          <w:szCs w:val="30"/>
        </w:rPr>
        <w:t xml:space="preserve">CAPITOLO 6 — SICUREZZA E PROTEZIONE DEI DATI</w:t>
      </w:r>
    </w:p>
    <w:p>
      <w:pPr>
        <w:spacing w:after="200" w:line="360"/>
        <w:jc w:val="both"/>
      </w:pPr>
      <w:r>
        <w:rPr>
          <w:rFonts w:ascii="Garamond" w:cs="Garamond" w:eastAsia="Garamond" w:hAnsi="Garamond"/>
          <w:sz w:val="22"/>
          <w:szCs w:val="22"/>
        </w:rPr>
        <w:t xml:space="preserve">Un intervento di hardening del 12 luglio ha revocato i permessi di scrittura anonima su tutte le tabelle, ristretto l'accesso alla tabella dei pool anche per gli utenti autenticati, revocato il permesso EXECUTE dal ruolo PUBLIC (non solo da anon) sulle funzioni riservate, impostato i privilegi di default per le tabelle future e fissato il search_path sulle funzioni relative alle commissioni per prevenire attacchi di dirottamento dello schema. Un intervento successivo del 13 luglio ha introdotto il mascheramento dei contatti: email e telefono del fornitore restano nascosti sia nella messaggistica sia nella scheda profilo fornitore finché non esiste un ordine confermato tra le due aziende coinvolte (con stati riconosciuti come confermati: pagato, spedito, consegnato, accettato o completato, applicati anche retroattivamente); partita IVA, PEC e codice SDI non sono mai mostrati, e dati IBAN o amministrativi non sono mai esposti in nessun caso. Il nome del fornitore resta comunque offuscato per i visitatori anonimi in ogni punto della piattaforma. Il divieto d'asta sui prodotti agricoli grezzi, oltre a essere applicato in interfaccia, è imposto anche lato server nelle funzioni RPC, per non dipendere esclusivamente da un controllo client-side aggirabile. Una Content Security Policy è attiva sia in modalità enforcing sia in modalità report-only, con i domini Stripe autorizzati e una direttiva media-src estesa al dominio Supabase per il video in home page; resta da completare l'adozione di un nonce sulla direttiva script-src in modalità enforcing. La protezione contro le password compromesse offerta da Supabase risulta da attivare manualmente dal pannello di controllo, un compito ancora assegnato a Davide.</w:t>
      </w:r>
    </w:p>
    <w:p>
      <w:pPr>
        <w:pStyle w:val="Heading1"/>
        <w:pageBreakBefore/>
        <w:spacing w:after="240" w:before="200"/>
      </w:pPr>
      <w:r>
        <w:rPr>
          <w:rFonts w:ascii="Cambria" w:cs="Cambria" w:eastAsia="Cambria" w:hAnsi="Cambria"/>
          <w:b/>
          <w:bCs/>
          <w:sz w:val="30"/>
          <w:szCs w:val="30"/>
        </w:rPr>
        <w:t xml:space="preserve">CAPITOLO 7 — PAGAMENTI, ESCROW E STRIPE</w:t>
      </w:r>
    </w:p>
    <w:p>
      <w:pPr>
        <w:spacing w:after="200" w:line="360"/>
        <w:jc w:val="both"/>
      </w:pPr>
      <w:r>
        <w:rPr>
          <w:rFonts w:ascii="Garamond" w:cs="Garamond" w:eastAsia="Garamond" w:hAnsi="Garamond"/>
          <w:sz w:val="22"/>
          <w:szCs w:val="22"/>
        </w:rPr>
        <w:t xml:space="preserve">La prima fase del circuito di pagamento è collegata e funzionante in modalità test: un endpoint dedicato crea un unico PaymentIntent consolidato per tipo di strumento di pagamento (addebito SEPA o carta) limitato agli ordini del checkout in corso, con controllo di proprietà e di stato imposto dalla Row Level Security; l'elemento di pagamento è integrato sia nel checkout sia nella pagina ordine, e gli ordini restano nello stato "in attesa di pagamento" fino a quando il webhook Stripe payment_intent.succeeded non li conferma, con verifica della firma sul corpo grezzo della richiesta — nessun percorso dimostrativo può segnare un ordine reale come pagato al di fuori di questo webhook. Ogni azienda registrata dispone già di un cliente Stripe persistente. Dal 14 luglio l'elemento di pagamento riceve automaticamente i dati di fatturazione già noti della sede legale, così da non dover reinserire ragione sociale, email e indirizzo a ogni ordine.</w:t>
      </w:r>
    </w:p>
    <w:p>
      <w:pPr>
        <w:spacing w:after="200" w:line="360"/>
        <w:jc w:val="both"/>
      </w:pPr>
      <w:r>
        <w:rPr>
          <w:rFonts w:ascii="Garamond" w:cs="Garamond" w:eastAsia="Garamond" w:hAnsi="Garamond"/>
          <w:sz w:val="22"/>
          <w:szCs w:val="22"/>
        </w:rPr>
        <w:t xml:space="preserve">Restano da completare, come seconda fase, il salvataggio del metodo di pagamento (compreso l'IBAN) tramite l'opzione setup_future_usage con consenso esplicito al mandato SCA, riutilizzando lo stesso meccanismo già costruito per l'adesione alle aste, l'interfaccia di SetupIntent al momento dell'adesione a un'asta, l'addebito automatico off-session al momento della chiusura o aggiudicazione, l'onboarding su Stripe Connect di fornitori e corrieri, e il job periodico di rilascio dei fondi (releaseFunds). L'endpoint per il SetupIntent è già pronto lato codice. Il modello di escrow adottato è quello di Stripe Connect con "Separate Charges and Transfers": il pagamento affluisce alla piattaforma, che effettua il trasferimento al fornitore solo dopo l'avvenuta consegna, tramite un adattatore dedicato nel codice (escrowAdapter). Le variabili d'ambiente del webhook sono inserite manualmente da Davide su Vercel, e il pannello di controllo salute per gli amministratori ne verifica ora la presenza. Un accorgimento tecnico da mantenere è che l'istanza Stripe va sempre inizializzata in modo lazy tramite la funzione getStripe(), senza forzare una versione di API personalizzata.</w:t>
      </w:r>
    </w:p>
    <w:p>
      <w:pPr>
        <w:pStyle w:val="Heading1"/>
        <w:pageBreakBefore/>
        <w:spacing w:after="240" w:before="200"/>
      </w:pPr>
      <w:r>
        <w:rPr>
          <w:rFonts w:ascii="Cambria" w:cs="Cambria" w:eastAsia="Cambria" w:hAnsi="Cambria"/>
          <w:b/>
          <w:bCs/>
          <w:sz w:val="30"/>
          <w:szCs w:val="30"/>
        </w:rPr>
        <w:t xml:space="preserve">CAPITOLO 8 — CONFORMITÀ LEGALE, FISCALE E SOCIETARIA</w:t>
      </w:r>
    </w:p>
    <w:p>
      <w:pPr>
        <w:pStyle w:val="Heading2"/>
        <w:spacing w:after="160" w:before="280"/>
      </w:pPr>
      <w:r>
        <w:rPr>
          <w:rFonts w:ascii="Cambria" w:cs="Cambria" w:eastAsia="Cambria" w:hAnsi="Cambria"/>
          <w:b/>
          <w:bCs/>
          <w:sz w:val="24"/>
          <w:szCs w:val="24"/>
        </w:rPr>
        <w:t xml:space="preserve">8.1 Il divieto normativo sulle materie prime agricole grezze</w:t>
      </w:r>
    </w:p>
    <w:p>
      <w:pPr>
        <w:spacing w:after="200" w:line="360"/>
        <w:jc w:val="both"/>
      </w:pPr>
      <w:r>
        <w:rPr>
          <w:rFonts w:ascii="Garamond" w:cs="Garamond" w:eastAsia="Garamond" w:hAnsi="Garamond"/>
          <w:sz w:val="22"/>
          <w:szCs w:val="22"/>
        </w:rPr>
        <w:t xml:space="preserve">Tra il 13 e il 15 luglio è stato individuato e implementato un vincolo normativo rilevante: i cereali grezzi (grano tenero, grano duro, granoturco, orzo, risone) e, da un successivo affinamento, anche i semi di soia e la farina di estrazione di soia non possono essere oggetto di un meccanismo di asta a doppio ribasso, ai sensi della Direttiva UE 2019/633 sulle pratiche commerciali sleali nella filiera agroalimentare e del relativo decreto di recepimento italiano, il D.Lgs. 198/2021, articolo 5 comma 1 lettera a. Il vincolo è codificato a livello di prodotto tramite il flag products.auction_restricted_by_law. Un affinamento del 15 luglio ha chiarito che il divieto non riguarda l'aggregazione della domanda in sé: l'Acquisto di gruppo, che aggrega la domanda su un unico fornitore a prezzo fisso senza competizione, resta legittimo anche per questi prodotti. Le funzioni che gestiscono l'apertura e l'adesione ai pool bloccano quindi l'operazione soltanto quando il prodotto è normativamente ristretto e sono disponibili due o più fornitori distinti (quindi asta competitiva vera e propria); con un solo fornitore disponibile l'Acquisto di gruppo procede regolarmente. Questo punto, e in particolare la qualificazione della farina di estrazione di soia come derivato o come mangime ai fini della norma, richiede ancora una validazione formale da parte di un avvocato prima del lancio commerciale.</w:t>
      </w:r>
    </w:p>
    <w:p>
      <w:pPr>
        <w:pStyle w:val="Heading2"/>
        <w:spacing w:after="160" w:before="280"/>
      </w:pPr>
      <w:r>
        <w:rPr>
          <w:rFonts w:ascii="Cambria" w:cs="Cambria" w:eastAsia="Cambria" w:hAnsi="Cambria"/>
          <w:b/>
          <w:bCs/>
          <w:sz w:val="24"/>
          <w:szCs w:val="24"/>
        </w:rPr>
        <w:t xml:space="preserve">8.2 Trasparenza sui dati di mercato esterni</w:t>
      </w:r>
    </w:p>
    <w:p>
      <w:pPr>
        <w:spacing w:after="200" w:line="360"/>
        <w:jc w:val="both"/>
      </w:pPr>
      <w:r>
        <w:rPr>
          <w:rFonts w:ascii="Garamond" w:cs="Garamond" w:eastAsia="Garamond" w:hAnsi="Garamond"/>
          <w:sz w:val="22"/>
          <w:szCs w:val="22"/>
        </w:rPr>
        <w:t xml:space="preserve">Ovunque compaia in piattaforma un dato di mercato di provenienza esterna — ISMEA, CUN o Eurostat — è obbligatoria una dicitura informativa con indicazione della fonte e link di riferimento; questo obbligo non si applica al dato proprietario BulkStrike, che riflette transazioni realmente concluse sulla piattaforma.</w:t>
      </w:r>
    </w:p>
    <w:p>
      <w:pPr>
        <w:pStyle w:val="Heading2"/>
        <w:spacing w:after="160" w:before="280"/>
      </w:pPr>
      <w:r>
        <w:rPr>
          <w:rFonts w:ascii="Cambria" w:cs="Cambria" w:eastAsia="Cambria" w:hAnsi="Cambria"/>
          <w:b/>
          <w:bCs/>
          <w:sz w:val="24"/>
          <w:szCs w:val="24"/>
        </w:rPr>
        <w:t xml:space="preserve">8.3 Punti aperti per i consulenti esterni</w:t>
      </w:r>
    </w:p>
    <w:p>
      <w:pPr>
        <w:spacing w:after="200" w:line="360"/>
        <w:jc w:val="both"/>
      </w:pPr>
      <w:r>
        <w:rPr>
          <w:rFonts w:ascii="Garamond" w:cs="Garamond" w:eastAsia="Garamond" w:hAnsi="Garamond"/>
          <w:sz w:val="22"/>
          <w:szCs w:val="22"/>
        </w:rPr>
        <w:t xml:space="preserve">Per l'avvocato incaricato restano da chiarire, prima del lancio commerciale: il profilo antitrust del meccanismo di asta inversa in forma anonima, il rischio di prezzi predatori, la costruzione di un meccanismo di salvaguardia che non configuri una fissazione concordata dei prezzi, la qualificazione dell'escrow realizzato tramite Stripe Connect rispetto a un vero e proprio conto di garanzia alla luce della normativa PSD2, l'applicabilità dell'articolo 50 dell'AI Act europeo all'assistente AI in piattaforma, i testi di termini e condizioni, privacy e cookie, la natura giuridica del mandato senza rappresentanza con cui BulkStrike opera tra acquirente e fornitore, la separazione societaria dalla cantina di famiglia, e la piena conformità al D.Lgs. 198/2021 nel suo complesso, inclusa la qualificazione della farina di soia citata sopra. Per il commercialista restano da definire: la forma di società a responsabilità limitata con codice ATECO 63.12.09, il trattamento IVA dell'attività di intermediazione, la composizione dei ricavi (commissione logistica del 5% più, in prospettiva, abbonamenti e servizi premium), la contabilizzazione dei flussi in escrow, e la piena separazione contabile dalla Società Agricola Pasetti. È inoltre necessario aggiornare, con il contributo di entrambi i professionisti, la pagina pubblica /legale, che cita ancora Railway come sub-responsabile del trattamento dati mentre l'elenco reale dei sub-responsabili oggi comprende Vercel, Supabase, Stripe, Resend, Meta/WhatsApp, Anthropic ed Eurostat come fonte dati esterna.</w:t>
      </w:r>
    </w:p>
    <w:p>
      <w:pPr>
        <w:pStyle w:val="Heading1"/>
        <w:pageBreakBefore/>
        <w:spacing w:after="240" w:before="200"/>
      </w:pPr>
      <w:r>
        <w:rPr>
          <w:rFonts w:ascii="Cambria" w:cs="Cambria" w:eastAsia="Cambria" w:hAnsi="Cambria"/>
          <w:b/>
          <w:bCs/>
          <w:sz w:val="30"/>
          <w:szCs w:val="30"/>
        </w:rPr>
        <w:t xml:space="preserve">CAPITOLO 9 — ANALISI DI MERCATO E POSIZIONAMENTO COMPETITIVO</w:t>
      </w:r>
    </w:p>
    <w:p>
      <w:pPr>
        <w:pStyle w:val="Heading2"/>
        <w:spacing w:after="160" w:before="280"/>
      </w:pPr>
      <w:r>
        <w:rPr>
          <w:rFonts w:ascii="Cambria" w:cs="Cambria" w:eastAsia="Cambria" w:hAnsi="Cambria"/>
          <w:b/>
          <w:bCs/>
          <w:sz w:val="24"/>
          <w:szCs w:val="24"/>
        </w:rPr>
        <w:t xml:space="preserve">9.1 Il problema di mercato</w:t>
      </w:r>
    </w:p>
    <w:p>
      <w:pPr>
        <w:spacing w:after="200" w:line="360"/>
        <w:jc w:val="both"/>
      </w:pPr>
      <w:r>
        <w:rPr>
          <w:rFonts w:ascii="Garamond" w:cs="Garamond" w:eastAsia="Garamond" w:hAnsi="Garamond"/>
          <w:sz w:val="22"/>
          <w:szCs w:val="22"/>
        </w:rPr>
        <w:t xml:space="preserve">Il tessuto industriale italiano è composto in larghissima prevalenza da piccole e medie imprese che, nell'acquisto di materie prime sfuse, si trovano in una posizione di svantaggio negoziale strutturale: comprano volumi troppo piccoli per ottenere le condizioni riservate ai grandi clienti, negoziano bilateralmente senza un reale confronto competitivo tra fornitori, e sostengono da sole il costo di verificare la conformità normativa di ogni nuovo fornitore. Una dimensione di questo problema è suggerita da un'analisi di Industria Italiana, che stima in 490 miliardi di euro il fatturato dell'industria italiana legato a input di materie prime non controllati direttamente dalle imprese che li utilizzano — una cifra che va letta come indicatore di contesto sulla centralità e insieme sulla scarsa strumentazione digitale della fase di approvvigionamento nell' industria italiana, non come dimensionamento diretto del mercato indirizzabile da BulkStrike.</w:t>
      </w:r>
    </w:p>
    <w:p>
      <w:pPr>
        <w:pStyle w:val="Heading2"/>
        <w:spacing w:after="160" w:before="280"/>
      </w:pPr>
      <w:r>
        <w:rPr>
          <w:rFonts w:ascii="Cambria" w:cs="Cambria" w:eastAsia="Cambria" w:hAnsi="Cambria"/>
          <w:b/>
          <w:bCs/>
          <w:sz w:val="24"/>
          <w:szCs w:val="24"/>
        </w:rPr>
        <w:t xml:space="preserve">9.2 Dimensionamento del mercato indirizzabile</w:t>
      </w:r>
    </w:p>
    <w:p>
      <w:pPr>
        <w:spacing w:after="200" w:line="360"/>
        <w:jc w:val="both"/>
      </w:pPr>
      <w:r>
        <w:rPr>
          <w:rFonts w:ascii="Garamond" w:cs="Garamond" w:eastAsia="Garamond" w:hAnsi="Garamond"/>
          <w:sz w:val="22"/>
          <w:szCs w:val="22"/>
        </w:rPr>
        <w:t xml:space="preserve">Un dimensionamento rigoroso di mercato totale, mercato servibile e mercato effettivamente ottenibile richiederebbe dati di procurement primari per ciascuna delle tredici macro-aree oggi coperte, non ancora raccolti con precisione sufficiente. L'approccio metodologico consigliato resta di tipo bottom-up: stimare, per ciascuna macro-area, il numero di imprese manifatturiere italiane che acquistano regolarmente quella tipologia di materia prima a partire dai censimenti Istat sulla struttura delle imprese, moltiplicarlo per una spesa media annua in materie prime sfuse per impresa da raccogliere via survey o bilanci settoriali, e applicare una quota di penetrazione realistica per gli anni di piano. A differenza di quanto si sarebbe potuto ipotizzare in fase di sola pianificazione teorica, il percorso di go-to-market realmente seguito da BulkStrike non ha selezionato a tavolino uno o due settori pilota tra quelli ritenuti più standardizzati, ma è partito dal settore enologico grazie alla rete professionale diretta del fondatore, per poi estendersi via via alle altre dodici macro-aree: un percorso bottom-up guidato dalla fiducia e dai contatti già esistenti, piuttosto che da un'analisi comparativa astratta di frammentazione e standardizzazione tra settori. Questo non invalida l'utilità dell'analisi comparativa tra settori per decidere dove investire le risorse di acquisizione fornitori nelle fasi successive di crescita, ma va letta come input a un processo già in corso e non come raccomandazione per un lancio non ancora avvenuto.</w:t>
      </w:r>
    </w:p>
    <w:p>
      <w:pPr>
        <w:pStyle w:val="Heading2"/>
        <w:spacing w:after="160" w:before="280"/>
      </w:pPr>
      <w:r>
        <w:rPr>
          <w:rFonts w:ascii="Cambria" w:cs="Cambria" w:eastAsia="Cambria" w:hAnsi="Cambria"/>
          <w:b/>
          <w:bCs/>
          <w:sz w:val="24"/>
          <w:szCs w:val="24"/>
        </w:rPr>
        <w:t xml:space="preserve">9.3 Vantaggio competitivo</w:t>
      </w:r>
    </w:p>
    <w:p>
      <w:pPr>
        <w:spacing w:after="200" w:line="360"/>
        <w:jc w:val="both"/>
      </w:pPr>
      <w:r>
        <w:rPr>
          <w:rFonts w:ascii="Garamond" w:cs="Garamond" w:eastAsia="Garamond" w:hAnsi="Garamond"/>
          <w:sz w:val="22"/>
          <w:szCs w:val="22"/>
        </w:rPr>
        <w:t xml:space="preserve">Il vantaggio competitivo di BulkStrike si costruisce su tre elementi che si rinforzano nel tempo. Il primo è l'effetto di rete tipico dei marketplace ad asta: più fornitori sono presenti in una macro-area, più competitivo è il prezzo risultante dall'Asta a ribasso, il che attrae più acquirenti e rende a sua volta l'area più interessante per nuovi fornitori. Il secondo è il patrimonio di dati di prezzo che si accumula transazione dopo transazione: la pagina Andamento prezzi, con il suo confronto tra storico proprietario BulkStrike e riferimenti esterni ISMEA, CUN ed Eurostat, è già un primo prodotto informativo che nessun singolo attore del mercato frammentato possiede oggi nella stessa forma. Il terzo è la combinazione tra meccanismo di aggregazione della domanda e distinzione automatica tra Asta a ribasso e Acquisto di gruppo, che permette alla piattaforma di funzionare anche nei segmenti — come le materie prime agricole grezze — dove un vincolo normativo impedirebbe una vera asta competitiva, senza dover rinunciare al beneficio dell'aggregazione di volume per l'acquirente.</w:t>
      </w:r>
    </w:p>
    <w:p>
      <w:pPr>
        <w:pStyle w:val="Heading1"/>
        <w:pageBreakBefore/>
        <w:spacing w:after="240" w:before="200"/>
      </w:pPr>
      <w:r>
        <w:rPr>
          <w:rFonts w:ascii="Cambria" w:cs="Cambria" w:eastAsia="Cambria" w:hAnsi="Cambria"/>
          <w:b/>
          <w:bCs/>
          <w:sz w:val="30"/>
          <w:szCs w:val="30"/>
        </w:rPr>
        <w:t xml:space="preserve">CAPITOLO 10 — RISCHI E MITIGAZIONI</w:t>
      </w:r>
    </w:p>
    <w:p>
      <w:pPr>
        <w:spacing w:after="200" w:line="360"/>
        <w:jc w:val="both"/>
      </w:pPr>
      <w:r>
        <w:rPr>
          <w:rFonts w:ascii="Garamond" w:cs="Garamond" w:eastAsia="Garamond" w:hAnsi="Garamond"/>
          <w:sz w:val="22"/>
          <w:szCs w:val="22"/>
        </w:rPr>
        <w:t xml:space="preserve">Il rischio più strutturale resta la massa critica di fornitori per macro-area: senza un numero sufficiente di fornitori certificati e attivi, l'Asta a ribasso non genera il vantaggio di prezzo che ne giustifica l'adozione da parte dell'acquirente, e il prodotto ricade di fatto sull'Acquisto di gruppo o sull'Acquisto Rapido; la mitigazione resta concentrare le risorse di onboarding fornitori macro-area per macro-area anziché disperderle su tutte e tredici contemporaneamente. Un secondo rischio, di natura normativa, riguarda proprio il divieto d'asta sulle materie prime agricole grezze trattato nel capitolo 8: un'interpretazione non corretta della norma, in particolare sulla qualificazione di prodotti derivati come la farina di soia, espone la piattaforma a un rischio regolatorio concreto, ed è per questo che la validazione legale formale resta un passaggio bloccante prima del lancio commerciale pieno. Un terzo rischio riguarda la qualificazione dell'escrow realizzato su Stripe Connect rispetto agli obblighi PSD2: la distinzione tra un "vero" conto di garanzia regolamentato e il modello "Separate Charges and Transfers" oggi adottato va chiarita con il legale prima di scalare i volumi in escrow. Un quarto rischio è operativo: l'assenza di un meccanismo automatico di invio per la coda emails_outbox significa che, salvo la conferma di consegna manuale, le comunicazioni transazionali verso gli utenti non partono da sole, con un possibile impatto sull'esperienza utente e sulla fiducia nella piattaforma finché il drainer automatico non sarà completato. Un quinto rischio è reputazionale e di conformità sulla protezione dati: la pagina /legale che cita ancora Railway come sub-responsabile, mentre lo stack reale include Vercel, Supabase, Stripe, Resend, Meta/WhatsApp e Anthropic, espone la piattaforma a una comunicazione inesatta verso gli utenti sul trattamento dei loro dati, da correggere prima di qualunque comunicazione commerciale su larga scala.</w:t>
      </w:r>
    </w:p>
    <w:p>
      <w:pPr>
        <w:pStyle w:val="Heading1"/>
        <w:pageBreakBefore/>
        <w:spacing w:after="240" w:before="200"/>
      </w:pPr>
      <w:r>
        <w:rPr>
          <w:rFonts w:ascii="Cambria" w:cs="Cambria" w:eastAsia="Cambria" w:hAnsi="Cambria"/>
          <w:b/>
          <w:bCs/>
          <w:sz w:val="30"/>
          <w:szCs w:val="30"/>
        </w:rPr>
        <w:t xml:space="preserve">CAPITOLO 11 — STATO ATTUALE E ROADMAP</w:t>
      </w:r>
    </w:p>
    <w:p>
      <w:pPr>
        <w:pStyle w:val="Heading2"/>
        <w:spacing w:after="160" w:before="280"/>
      </w:pPr>
      <w:r>
        <w:rPr>
          <w:rFonts w:ascii="Cambria" w:cs="Cambria" w:eastAsia="Cambria" w:hAnsi="Cambria"/>
          <w:b/>
          <w:bCs/>
          <w:sz w:val="24"/>
          <w:szCs w:val="24"/>
        </w:rPr>
        <w:t xml:space="preserve">11.1 Quanto è stato completato (al 15 luglio 2026)</w:t>
      </w:r>
    </w:p>
    <w:p>
      <w:pPr>
        <w:spacing w:after="200" w:line="360"/>
        <w:jc w:val="both"/>
      </w:pPr>
      <w:r>
        <w:rPr>
          <w:rFonts w:ascii="Garamond" w:cs="Garamond" w:eastAsia="Garamond" w:hAnsi="Garamond"/>
          <w:sz w:val="22"/>
          <w:szCs w:val="22"/>
        </w:rPr>
        <w:t xml:space="preserve">La piattaforma è live su bulkstrike.com con un catalogo di 618 prodotti su tredici macro-aree, comprensivo di schede di sicurezza e schede tecniche ri-sincronizzate per nome prodotto e di specifiche tecniche strutturate per 332 prodotti. Il motore d'asta è completo, con la distinzione tra Asta a ribasso e Acquisto di gruppo pienamente operativa e il divieto d'asta sui prodotti agricoli grezzi correttamente affinato per consentire comunque l'Acquisto di gruppo con un solo fornitore. La pipeline dei prezzi copre ormai il 99,8% del catalogo tra prezzo diretto ISMEA/CUN sui cereali e semi oleosi e indici settoriali Eurostat su nove serie NACE. È live la pagina pubblica Andamento prezzi, la home page mostra solo dati reali con il riquadro Market Intelligence, i contatti dei fornitori sono mascherati fino a ordine confermato, le bandiere paese usano SVG inline, e un sistema di controllo settimanale della freschezza della pipeline dati invia allarmi via email quando una fonte è in ritardo, reso possibile dalla corretta configurazione della chiave Resend. Il primo circuito di pagamento Stripe in escrow funziona end-to-end in modalità test, con precompilazione dei dati di fatturazione.</w:t>
      </w:r>
    </w:p>
    <w:p>
      <w:pPr>
        <w:pStyle w:val="Heading2"/>
        <w:spacing w:after="160" w:before="280"/>
      </w:pPr>
      <w:r>
        <w:rPr>
          <w:rFonts w:ascii="Cambria" w:cs="Cambria" w:eastAsia="Cambria" w:hAnsi="Cambria"/>
          <w:b/>
          <w:bCs/>
          <w:sz w:val="24"/>
          <w:szCs w:val="24"/>
        </w:rPr>
        <w:t xml:space="preserve">11.2 Prossimi passi, in ordine di priorità</w:t>
      </w:r>
    </w:p>
    <w:p>
      <w:pPr>
        <w:spacing w:after="200" w:line="360"/>
        <w:jc w:val="both"/>
      </w:pPr>
      <w:r>
        <w:rPr>
          <w:rFonts w:ascii="Garamond" w:cs="Garamond" w:eastAsia="Garamond" w:hAnsi="Garamond"/>
          <w:sz w:val="22"/>
          <w:szCs w:val="22"/>
        </w:rPr>
        <w:t xml:space="preserve">Il passo più immediato è verificare in ambiente di test l'intero ciclo di un ordine campione dallo stato "in attesa di pagamento" fino a "pagato", una volta che le variabili d'ambiente del webhook saranno confermate su Vercel e l'endpoint registrato lato Stripe. Segue, come seconda fase del circuito di pagamento, il salvataggio del metodo di pagamento con consenso SCA riutilizzando il meccanismo già costruito per l'adesione alle aste, l'introduzione dell'interfaccia di SetupIntent al momento dell'adesione a un'asta, l'addebito automatico off-session alla chiusura, l'onboarding di fornitori e corrieri su Stripe Connect, e il job di rilascio automatico dei fondi. Il terzo passo è completare il meccanismo di invio automatico della coda emails_outbox tramite Resend, oggi bloccato in attesa di questo sviluppo nonostante la chiave API sia già configurata. Il quarto passo riguarda il completamento della pipeline prezzi: resta scoperto solo il sorgo, va valutata una fonte di prezzo per altri semi oleosi come il girasole, e va considerata una possibile fase successiva di mappatura su serie NACE Eurostat ancora più specifiche, ad esempio per la cosmetica o la detergenza, se effettivamente disponibili. Il quinto passo è tecnico e di sicurezza: portare in modalità enforcing la direttiva script-src della Content Security Policy con un nonce dedicato, e completare la migrazione della configurazione ESLint da Next 15 a Next 16. Il sesto passo è mettere a versione nel repository lo schema delle tabelle WhatsApp, oggi non tracciato nelle migration, e collegare finalmente il billing degli abbonamenti fornitori a Stripe. Il settimo passo è correggere la pagina /legale, sostituendo il riferimento a Railway con lo stack reale e l'elenco corretto dei sub-responsabili del trattamento. L'ottavo passo, bloccante prima di qualunque lancio commerciale pieno, è la validazione formale da parte di avvocato e commercialista sul modello di commissioni al 5%, sulla piena conformità al D.Lgs. 198/2021 incluso il modello "Acquisto di gruppo consentito" e la qualificazione della farina di estrazione di soia. Segnalato come fuori perimetro immediato ma da correggere a parte, il campo "Forma" nell'intestazione della scheda prodotto mostra erroneamente "Polvere / granulare" anche per i prodotti gassosi, per un difetto nel mapper che ricade sull'unità di misura predefinita. Infine, sul fronte documentale, esistono su Google Drive versioni più recenti di alcuni documenti (con suffissi _v2, _v3, _v1.3 creati il 14 luglio) le cui versioni superate andrebbero eliminate manualmente da Davide, così come le circa venticinque copie di codice sparse su Drive, ormai obsolete rispetto alla fonte di verità reale che resta il repository GitHub.</w:t>
      </w:r>
    </w:p>
    <w:p>
      <w:pPr>
        <w:pStyle w:val="Heading1"/>
        <w:pageBreakBefore/>
        <w:spacing w:after="240" w:before="200"/>
      </w:pPr>
      <w:r>
        <w:rPr>
          <w:rFonts w:ascii="Cambria" w:cs="Cambria" w:eastAsia="Cambria" w:hAnsi="Cambria"/>
          <w:b/>
          <w:bCs/>
          <w:sz w:val="30"/>
          <w:szCs w:val="30"/>
        </w:rPr>
        <w:t xml:space="preserve">CAPITOLO 12 — CONCLUSIONI</w:t>
      </w:r>
    </w:p>
    <w:p>
      <w:pPr>
        <w:spacing w:after="200" w:line="360"/>
        <w:jc w:val="both"/>
      </w:pPr>
      <w:r>
        <w:rPr>
          <w:rFonts w:ascii="Garamond" w:cs="Garamond" w:eastAsia="Garamond" w:hAnsi="Garamond"/>
          <w:sz w:val="22"/>
          <w:szCs w:val="22"/>
        </w:rPr>
        <w:t xml:space="preserve">BulkStrike ha superato la fase di sola pianificazione ed è oggi una piattaforma reale, live in produzione, con un motore d'asta completo, una pipeline di dati di mercato che copre praticamente l'intero catalogo, e un primo circuito di pagamento in escrow funzionante in ambiente di test. La distanza residua rispetto a un lancio commerciale pieno non è più principalmente una distanza di prodotto, ma di validazione: completare la seconda fase dei pagamenti Stripe, chiudere il ciclo delle comunicazioni automatiche via email, e soprattutto ottenere la validazione legale e fiscale formale sul modello di commissioni e sulla conformità normativa specifica delle materie prime agricole, un passaggio esplicitamente bloccante prima di qualunque comunicazione commerciale su larga scala. Il percorso seguito finora, partito da un settore in cui il fondatore aveva già credibilità diretta ed esteso in modo incrementale alle altre dodici macro-aree, offre inoltre un modello replicabile per l'espansione futura: dare priorità, macro-area per macro-area, alla costruzione di una base sufficiente di fornitori prima di aprire l'acquisizione di nuovi acquirenti su larga scala, così che il meccanismo di Asta a ribasso possa generare fin da subito un vantaggio di prezzo misurabile e non solo teorico.</w:t>
      </w:r>
    </w:p>
    <w:p>
      <w:pPr>
        <w:pStyle w:val="Heading1"/>
        <w:pageBreakBefore/>
        <w:spacing w:after="240" w:before="200"/>
      </w:pPr>
      <w:r>
        <w:rPr>
          <w:rFonts w:ascii="Cambria" w:cs="Cambria" w:eastAsia="Cambria" w:hAnsi="Cambria"/>
          <w:b/>
          <w:bCs/>
          <w:sz w:val="30"/>
          <w:szCs w:val="30"/>
        </w:rPr>
        <w:t xml:space="preserve">APPENDICE A — IDENTIFICATIVI TECNICI CHIAVE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D9D9D9" w:val="clear"/>
          </w:tcPr>
          <w:p>
            <w:r>
              <w:rPr>
                <w:rFonts w:ascii="Garamond" w:cs="Garamond" w:eastAsia="Garamond" w:hAnsi="Garamond"/>
                <w:b/>
                <w:bCs/>
                <w:sz w:val="20"/>
                <w:szCs w:val="20"/>
              </w:rPr>
              <w:t xml:space="preserve">Elemento</w:t>
            </w:r>
          </w:p>
        </w:tc>
        <w:tc>
          <w:tcPr>
            <w:tcW w:type="dxa" w:w="6026"/>
            <w:shd w:fill="D9D9D9" w:val="clear"/>
          </w:tcPr>
          <w:p>
            <w:r>
              <w:rPr>
                <w:rFonts w:ascii="Garamond" w:cs="Garamond" w:eastAsia="Garamond" w:hAnsi="Garamond"/>
                <w:b/>
                <w:bCs/>
                <w:sz w:val="20"/>
                <w:szCs w:val="20"/>
              </w:rPr>
              <w:t xml:space="preserve">Valore</w:t>
            </w:r>
          </w:p>
        </w:tc>
      </w:tr>
      <w:tr>
        <w:tc>
          <w:tcPr>
            <w:tcW w:type="dxa" w:w="3000"/>
          </w:tcPr>
          <w:p>
            <w:r>
              <w:rPr>
                <w:rFonts w:ascii="Garamond" w:cs="Garamond" w:eastAsia="Garamond" w:hAnsi="Garamond"/>
                <w:b w:val="false"/>
                <w:bCs w:val="false"/>
                <w:sz w:val="20"/>
                <w:szCs w:val="20"/>
              </w:rPr>
              <w:t xml:space="preserve">Dominio di produzione</w:t>
            </w:r>
          </w:p>
        </w:tc>
        <w:tc>
          <w:tcPr>
            <w:tcW w:type="dxa" w:w="6026"/>
          </w:tcPr>
          <w:p>
            <w:r>
              <w:rPr>
                <w:rFonts w:ascii="Garamond" w:cs="Garamond" w:eastAsia="Garamond" w:hAnsi="Garamond"/>
                <w:b w:val="false"/>
                <w:bCs w:val="false"/>
                <w:sz w:val="20"/>
                <w:szCs w:val="20"/>
              </w:rPr>
              <w:t xml:space="preserve">bulkstrike.com (registrar Namecheap), live su www.bulkstrike.com</w:t>
            </w:r>
          </w:p>
        </w:tc>
      </w:tr>
      <w:tr>
        <w:tc>
          <w:tcPr>
            <w:tcW w:type="dxa" w:w="3000"/>
          </w:tcPr>
          <w:p>
            <w:r>
              <w:rPr>
                <w:rFonts w:ascii="Garamond" w:cs="Garamond" w:eastAsia="Garamond" w:hAnsi="Garamond"/>
                <w:b w:val="false"/>
                <w:bCs w:val="false"/>
                <w:sz w:val="20"/>
                <w:szCs w:val="20"/>
              </w:rPr>
              <w:t xml:space="preserve">Repository di codice</w:t>
            </w:r>
          </w:p>
        </w:tc>
        <w:tc>
          <w:tcPr>
            <w:tcW w:type="dxa" w:w="6026"/>
          </w:tcPr>
          <w:p>
            <w:r>
              <w:rPr>
                <w:rFonts w:ascii="Garamond" w:cs="Garamond" w:eastAsia="Garamond" w:hAnsi="Garamond"/>
                <w:b w:val="false"/>
                <w:bCs w:val="false"/>
                <w:sz w:val="20"/>
                <w:szCs w:val="20"/>
              </w:rPr>
              <w:t xml:space="preserve">github.com/Davide-Pasetti/nextjs-with-supabase, branch main</w:t>
            </w:r>
          </w:p>
        </w:tc>
      </w:tr>
      <w:tr>
        <w:tc>
          <w:tcPr>
            <w:tcW w:type="dxa" w:w="3000"/>
          </w:tcPr>
          <w:p>
            <w:r>
              <w:rPr>
                <w:rFonts w:ascii="Garamond" w:cs="Garamond" w:eastAsia="Garamond" w:hAnsi="Garamond"/>
                <w:b w:val="false"/>
                <w:bCs w:val="false"/>
                <w:sz w:val="20"/>
                <w:szCs w:val="20"/>
              </w:rPr>
              <w:t xml:space="preserve">Progetto Supabase</w:t>
            </w:r>
          </w:p>
        </w:tc>
        <w:tc>
          <w:tcPr>
            <w:tcW w:type="dxa" w:w="6026"/>
          </w:tcPr>
          <w:p>
            <w:r>
              <w:rPr>
                <w:rFonts w:ascii="Garamond" w:cs="Garamond" w:eastAsia="Garamond" w:hAnsi="Garamond"/>
                <w:b w:val="false"/>
                <w:bCs w:val="false"/>
                <w:sz w:val="20"/>
                <w:szCs w:val="20"/>
              </w:rPr>
              <w:t xml:space="preserve">uufueekpxboygcotqvhu</w:t>
            </w:r>
          </w:p>
        </w:tc>
      </w:tr>
      <w:tr>
        <w:tc>
          <w:tcPr>
            <w:tcW w:type="dxa" w:w="3000"/>
          </w:tcPr>
          <w:p>
            <w:r>
              <w:rPr>
                <w:rFonts w:ascii="Garamond" w:cs="Garamond" w:eastAsia="Garamond" w:hAnsi="Garamond"/>
                <w:b w:val="false"/>
                <w:bCs w:val="false"/>
                <w:sz w:val="20"/>
                <w:szCs w:val="20"/>
              </w:rPr>
              <w:t xml:space="preserve">Team Vercel</w:t>
            </w:r>
          </w:p>
        </w:tc>
        <w:tc>
          <w:tcPr>
            <w:tcW w:type="dxa" w:w="6026"/>
          </w:tcPr>
          <w:p>
            <w:r>
              <w:rPr>
                <w:rFonts w:ascii="Garamond" w:cs="Garamond" w:eastAsia="Garamond" w:hAnsi="Garamond"/>
                <w:b w:val="false"/>
                <w:bCs w:val="false"/>
                <w:sz w:val="20"/>
                <w:szCs w:val="20"/>
              </w:rPr>
              <w:t xml:space="preserve">team_jTWQEeTRp9VbJADw5VGpz6ri</w:t>
            </w:r>
          </w:p>
        </w:tc>
      </w:tr>
      <w:tr>
        <w:tc>
          <w:tcPr>
            <w:tcW w:type="dxa" w:w="3000"/>
          </w:tcPr>
          <w:p>
            <w:r>
              <w:rPr>
                <w:rFonts w:ascii="Garamond" w:cs="Garamond" w:eastAsia="Garamond" w:hAnsi="Garamond"/>
                <w:b w:val="false"/>
                <w:bCs w:val="false"/>
                <w:sz w:val="20"/>
                <w:szCs w:val="20"/>
              </w:rPr>
              <w:t xml:space="preserve">Progetto Vercel</w:t>
            </w:r>
          </w:p>
        </w:tc>
        <w:tc>
          <w:tcPr>
            <w:tcW w:type="dxa" w:w="6026"/>
          </w:tcPr>
          <w:p>
            <w:r>
              <w:rPr>
                <w:rFonts w:ascii="Garamond" w:cs="Garamond" w:eastAsia="Garamond" w:hAnsi="Garamond"/>
                <w:b w:val="false"/>
                <w:bCs w:val="false"/>
                <w:sz w:val="20"/>
                <w:szCs w:val="20"/>
              </w:rPr>
              <w:t xml:space="preserve">prj_LZkzKkAxJbPizbmZHe3DwiKjKand</w:t>
            </w:r>
          </w:p>
        </w:tc>
      </w:tr>
      <w:tr>
        <w:tc>
          <w:tcPr>
            <w:tcW w:type="dxa" w:w="3000"/>
          </w:tcPr>
          <w:p>
            <w:r>
              <w:rPr>
                <w:rFonts w:ascii="Garamond" w:cs="Garamond" w:eastAsia="Garamond" w:hAnsi="Garamond"/>
                <w:b w:val="false"/>
                <w:bCs w:val="false"/>
                <w:sz w:val="20"/>
                <w:szCs w:val="20"/>
              </w:rPr>
              <w:t xml:space="preserve">Provider email transazionali</w:t>
            </w:r>
          </w:p>
        </w:tc>
        <w:tc>
          <w:tcPr>
            <w:tcW w:type="dxa" w:w="6026"/>
          </w:tcPr>
          <w:p>
            <w:r>
              <w:rPr>
                <w:rFonts w:ascii="Garamond" w:cs="Garamond" w:eastAsia="Garamond" w:hAnsi="Garamond"/>
                <w:b w:val="false"/>
                <w:bCs w:val="false"/>
                <w:sz w:val="20"/>
                <w:szCs w:val="20"/>
              </w:rPr>
              <w:t xml:space="preserve">Resend (mittente di fallback: BulkStrike &lt;ordini@updates.bulkstrike.com&gt;)</w:t>
            </w:r>
          </w:p>
        </w:tc>
      </w:tr>
      <w:tr>
        <w:tc>
          <w:tcPr>
            <w:tcW w:type="dxa" w:w="3000"/>
          </w:tcPr>
          <w:p>
            <w:r>
              <w:rPr>
                <w:rFonts w:ascii="Garamond" w:cs="Garamond" w:eastAsia="Garamond" w:hAnsi="Garamond"/>
                <w:b w:val="false"/>
                <w:bCs w:val="false"/>
                <w:sz w:val="20"/>
                <w:szCs w:val="20"/>
              </w:rPr>
              <w:t xml:space="preserve">Circuito di pagamento</w:t>
            </w:r>
          </w:p>
        </w:tc>
        <w:tc>
          <w:tcPr>
            <w:tcW w:type="dxa" w:w="6026"/>
          </w:tcPr>
          <w:p>
            <w:r>
              <w:rPr>
                <w:rFonts w:ascii="Garamond" w:cs="Garamond" w:eastAsia="Garamond" w:hAnsi="Garamond"/>
                <w:b w:val="false"/>
                <w:bCs w:val="false"/>
                <w:sz w:val="20"/>
                <w:szCs w:val="20"/>
              </w:rPr>
              <w:t xml:space="preserve">Stripe, account dedicato BulkStrike, oggi in modalità test</w:t>
            </w:r>
          </w:p>
        </w:tc>
      </w:tr>
    </w:tbl>
    <w:p>
      <w:pPr>
        <w:spacing w:after="200"/>
      </w:pPr>
    </w:p>
    <w:p>
      <w:pPr>
        <w:pStyle w:val="Heading1"/>
        <w:pageBreakBefore/>
        <w:spacing w:after="240" w:before="200"/>
      </w:pPr>
      <w:r>
        <w:rPr>
          <w:rFonts w:ascii="Cambria" w:cs="Cambria" w:eastAsia="Cambria" w:hAnsi="Cambria"/>
          <w:b/>
          <w:bCs/>
          <w:sz w:val="30"/>
          <w:szCs w:val="30"/>
        </w:rPr>
        <w:t xml:space="preserve">APPENDICE B — INVENTARIO DOCUMENTALE E FONTI DI VERITÀ</w:t>
      </w:r>
    </w:p>
    <w:p>
      <w:pPr>
        <w:spacing w:after="200" w:line="360"/>
        <w:jc w:val="both"/>
      </w:pPr>
      <w:r>
        <w:rPr>
          <w:rFonts w:ascii="Garamond" w:cs="Garamond" w:eastAsia="Garamond" w:hAnsi="Garamond"/>
          <w:sz w:val="22"/>
          <w:szCs w:val="22"/>
        </w:rPr>
        <w:t xml:space="preserve">La fonte di verità del codice è il repository GitHub Davide-Pasetti/nextjs-with-supabase, comprensivo di applicazione Next.js, migration Supabase, funzioni edge e cartella docs/; qualunque sorgente di codice sparsa su Google Drive è da considerarsi copia superata. La fonte di verità dei dati di prodotto e di mercato è il database Supabase di produzione (tabelle products, market_price_history, market_index_history e correlate); i file Excel o CSV storici su Drive sono anch'essi superati. Su Google Drive restano invece autorevoli, in quanto non versionabili nel codice, i documenti non tecnici: il presente stato di sintesi (la cui copia di lavoro vive anche in docs/STATO_PROGETTO.md nel repository, da tenere allineata), il documento di tassonomia e catalogo, i documenti legali e di specifica, il documento sugli abbonamenti fornitori, l'analisi competitiva e i file CSV usati per l'import di schede di sicurezza e schede tecniche. Questo documento di sintesi è conservato anche nel progetto BulkStrike su Claude, così da restare disponibile e consultabile in ogni sessione di lavoro futura legata al progetto, indipendentemente dal dispositivo o dalla chat da cui vi si accede.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BulkStrike — Stato del Progetto e Piano Strategico</dc:title>
  <dc:creator>Claude</dc:creator>
  <cp:lastModifiedBy>Un-named</cp:lastModifiedBy>
  <cp:revision>1</cp:revision>
  <dcterms:created xsi:type="dcterms:W3CDTF">2026-07-22T21:33:22.241Z</dcterms:created>
  <dcterms:modified xsi:type="dcterms:W3CDTF">2026-07-22T21:33:22.242Z</dcterms:modified>
</cp:coreProperties>
</file>

<file path=docProps/custom.xml><?xml version="1.0" encoding="utf-8"?>
<Properties xmlns="http://schemas.openxmlformats.org/officeDocument/2006/custom-properties" xmlns:vt="http://schemas.openxmlformats.org/officeDocument/2006/docPropsVTypes"/>
</file>