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Libreria Python Multi-Provider LLM - Router Embedding (client.py)</w:t>
      </w:r>
    </w:p>
    <w:p>
      <w:pPr>
        <w:pStyle w:val="Heading2"/>
      </w:pPr>
      <w:r>
        <w:t>Obiettivo del Router</w:t>
      </w:r>
    </w:p>
    <w:p>
      <w:r>
        <w:t>Implementare il file ns_llm/embedding/client.py, che espone la funzione generate_embedding(). Il router di embedding è il punto di ingresso del sottomodulo embedding: riceve tutti i parametri della chiamata, legge il campo provider e chiama la funzione corrispondente nel file provider appropriato. Il resto del programma non deve conoscere i dettagli di nessun provider: interagisce solo con generate_embedding().</w:t>
      </w:r>
    </w:p>
    <w:p>
      <w:r>
        <w:t>Il funzionamento è identico a quello del router di inferenza (generate_response() in ns_llm/inference/client.py), ma opera su un dominio diverso: invece di generare testo, converte stringhe in vettori numerici (embedding).</w:t>
      </w:r>
    </w:p>
    <w:p>
      <w:pPr>
        <w:pStyle w:val="Heading2"/>
      </w:pPr>
      <w:r>
        <w:t>Firma della Funzione</w:t>
      </w:r>
    </w:p>
    <w:p>
      <w:r>
        <w:t>La firma del router include il parametro provider, assente nelle funzioni dei singoli provider di embedding. È l'unica funzione che il codice esterno chiamerà direttamente.</w:t>
      </w:r>
    </w:p>
    <w:p>
      <w:r>
        <w:rPr>
          <w:rFonts w:ascii="Consolas" w:hAnsi="Consolas"/>
          <w:sz w:val="20"/>
        </w:rPr>
        <w:t>def generate_embedding(</w:t>
        <w:br/>
        <w:t xml:space="preserve">    model: str,</w:t>
        <w:br/>
        <w:t xml:space="preserve">    text: str,</w:t>
        <w:br/>
        <w:t xml:space="preserve">    input_type: str,</w:t>
        <w:br/>
        <w:t xml:space="preserve">    dimensions: int,</w:t>
        <w:br/>
        <w:t xml:space="preserve">    provider: str,</w:t>
        <w:br/>
        <w:t xml:space="preserve">    api_key: str</w:t>
        <w:br/>
        <w:t>) -&gt; dict:</w:t>
        <w:br/>
        <w:t xml:space="preserve">    pass</w:t>
      </w:r>
    </w:p>
    <w:p>
      <w:pPr>
        <w:pStyle w:val="Heading2"/>
      </w:pPr>
      <w:r>
        <w:t>Descrizione Parametri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Nome del modello di embedding da utilizzare (es. "intfloat/multilingual-e5-large-instruct", "openai/text-embedding-3-small").</w:t>
            </w:r>
          </w:p>
        </w:tc>
      </w:tr>
      <w:tr>
        <w:tc>
          <w:tcPr>
            <w:tcW w:type="dxa" w:w="4320"/>
          </w:tcPr>
          <w:p>
            <w:r>
              <w:t>text</w:t>
            </w:r>
          </w:p>
        </w:tc>
        <w:tc>
          <w:tcPr>
            <w:tcW w:type="dxa" w:w="4320"/>
          </w:tcPr>
          <w:p>
            <w:r>
              <w:t>Stringa di testo da convertire in vettore di embedding.</w:t>
            </w:r>
          </w:p>
        </w:tc>
      </w:tr>
      <w:tr>
        <w:tc>
          <w:tcPr>
            <w:tcW w:type="dxa" w:w="4320"/>
          </w:tcPr>
          <w:p>
            <w:r>
              <w:t>input_type</w:t>
            </w:r>
          </w:p>
        </w:tc>
        <w:tc>
          <w:tcPr>
            <w:tcW w:type="dxa" w:w="4320"/>
          </w:tcPr>
          <w:p>
            <w:r>
              <w:t>Tipo semantico del testo: tipicamente "search_query" (domanda di ricerca) o "search_document" (documento da indicizzare). Non tutti i modelli supportano questo parametro.</w:t>
            </w:r>
          </w:p>
        </w:tc>
      </w:tr>
      <w:tr>
        <w:tc>
          <w:tcPr>
            <w:tcW w:type="dxa" w:w="4320"/>
          </w:tcPr>
          <w:p>
            <w:r>
              <w:t>dimensions</w:t>
            </w:r>
          </w:p>
        </w:tc>
        <w:tc>
          <w:tcPr>
            <w:tcW w:type="dxa" w:w="4320"/>
          </w:tcPr>
          <w:p>
            <w:r>
              <w:t>Numero di dimensioni del vettore di output. Permette di ridurre la dimensionalità dell'embedding. Non tutti i modelli lo supportano: passare 0 per usare la dimensionalità predefinita del modello.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Stringa che identifica il provider di embedding (es. "together", "openrouter"). Il router usa questo campo per decidere quale funzione chiamare.</w:t>
            </w:r>
          </w:p>
        </w:tc>
      </w:tr>
      <w:tr>
        <w:tc>
          <w:tcPr>
            <w:tcW w:type="dxa" w:w="4320"/>
          </w:tcPr>
          <w:p>
            <w:r>
              <w:t>api_key</w:t>
            </w:r>
          </w:p>
        </w:tc>
        <w:tc>
          <w:tcPr>
            <w:tcW w:type="dxa" w:w="4320"/>
          </w:tcPr>
          <w:p>
            <w:r>
              <w:t>Chiave API del provider di embedding.</w:t>
            </w:r>
          </w:p>
        </w:tc>
      </w:tr>
    </w:tbl>
    <w:p/>
    <w:p>
      <w:pPr>
        <w:pStyle w:val="Heading2"/>
      </w:pPr>
      <w:r>
        <w:t>Formato di Ritorno</w:t>
      </w:r>
    </w:p>
    <w:p>
      <w:r>
        <w:t>Il router deve restituire direttamente ciò che la funzione del provider di embedding ritorna. Il formato è il seguente dizionario, identico per tutti i provider di embedding: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Chiave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880"/>
          </w:tcPr>
          <w:p>
            <w:r>
              <w:t>embedding</w:t>
            </w:r>
          </w:p>
        </w:tc>
        <w:tc>
          <w:tcPr>
            <w:tcW w:type="dxa" w:w="2880"/>
          </w:tcPr>
          <w:p>
            <w:r>
              <w:t>list[float]</w:t>
            </w:r>
          </w:p>
        </w:tc>
        <w:tc>
          <w:tcPr>
            <w:tcW w:type="dxa" w:w="2880"/>
          </w:tcPr>
          <w:p>
            <w:r>
              <w:t>Vettore di numeri floating-point che rappresenta il testo nello spazio semantico del modello.</w:t>
            </w:r>
          </w:p>
        </w:tc>
      </w:tr>
      <w:tr>
        <w:tc>
          <w:tcPr>
            <w:tcW w:type="dxa" w:w="2880"/>
          </w:tcPr>
          <w:p>
            <w:r>
              <w:t>input_tokens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Numero di token nel testo inviato. Se il provider non restituisce questo dato, deve essere 0.</w:t>
            </w:r>
          </w:p>
        </w:tc>
      </w:tr>
    </w:tbl>
    <w:p/>
    <w:p>
      <w:pPr>
        <w:pStyle w:val="Heading2"/>
      </w:pPr>
      <w:r>
        <w:t>Logica di Instradamento</w:t>
      </w:r>
    </w:p>
    <w:p>
      <w:r>
        <w:t>Il router deve importare la funzione di ciascun provider di embedding e chiamare quella corretta in base al valore del parametro provider. Il modo più diretto è una catena di istruzioni if/elif, una per ogni provider supportato. I provider di embedding da gestire sono: together, openrouter.</w:t>
      </w:r>
    </w:p>
    <w:p>
      <w:pPr>
        <w:pStyle w:val="ListBullet"/>
      </w:pPr>
      <w:r>
        <w:t>Ogni ramo if/elif chiama la funzione del provider corrispondente (call_together() o call_openrouter()), passando tutti i parametri tranne provider (che non serve al provider).</w:t>
      </w:r>
    </w:p>
    <w:p>
      <w:pPr>
        <w:pStyle w:val="ListBullet"/>
      </w:pPr>
      <w:r>
        <w:t>Il valore restituito dalla funzione del provider deve essere restituito direttamente da generate_embedding() senza modifiche.</w:t>
      </w:r>
    </w:p>
    <w:p>
      <w:r>
        <w:t>Nota: a differenza del router di inferenza che gestisce 5 provider, il router di embedding ne gestisce solo 2. La struttura if/elif/else è comunque la stessa: in futuro potranno essere aggiunti altri provider di embedding (es. OpenAI Embeddings, Cohere) aggiungendo semplicemente un nuovo ramo elif.</w:t>
      </w:r>
    </w:p>
    <w:p>
      <w:pPr>
        <w:pStyle w:val="Heading2"/>
      </w:pPr>
      <w:r>
        <w:t>Gestione degli Errori</w:t>
      </w:r>
    </w:p>
    <w:p>
      <w:r>
        <w:t>Il ramo else della catena if/elif deve gestire il caso in cui il valore di provider non corrisponda a nessuno dei provider di embedding supportati.</w:t>
      </w:r>
    </w:p>
    <w:p>
      <w:pPr>
        <w:pStyle w:val="ListBullet"/>
      </w:pPr>
      <w:r>
        <w:t>Sollevare un'eccezione con raise ValueError(...) e un messaggio che indica qual è il valore non riconosciuto. In Java il corrispondente è throw new IllegalArgumentException(...).</w:t>
      </w:r>
    </w:p>
    <w:p>
      <w:pPr>
        <w:pStyle w:val="ListBullet"/>
      </w:pPr>
      <w:r>
        <w:t>Il messaggio di errore dovrebbe elencare anche i valori validi ("together", "openrouter"), in modo che chi chiama la funzione capisca subito come correggere il problema.</w:t>
      </w:r>
    </w:p>
    <w:p>
      <w:pPr>
        <w:pStyle w:val="Heading2"/>
      </w:pPr>
      <w:r>
        <w:t>Posizione nel Progetto</w:t>
      </w:r>
    </w:p>
    <w:p>
      <w:r>
        <w:t>Il file client.py si trova nella radice del sottomodulo embedding, non nella sottocartella providers/. Questa è la stessa convenzione usata dal router di inferenza.</w:t>
      </w:r>
    </w:p>
    <w:p>
      <w:r>
        <w:rPr>
          <w:rFonts w:ascii="Consolas" w:hAnsi="Consolas"/>
          <w:sz w:val="20"/>
        </w:rPr>
        <w:t>ns_llm/</w:t>
      </w:r>
    </w:p>
    <w:p>
      <w:r>
        <w:rPr>
          <w:rFonts w:ascii="Consolas" w:hAnsi="Consolas"/>
          <w:sz w:val="20"/>
        </w:rPr>
        <w:t>│</w:t>
      </w:r>
    </w:p>
    <w:p>
      <w:r>
        <w:rPr>
          <w:rFonts w:ascii="Consolas" w:hAnsi="Consolas"/>
          <w:sz w:val="20"/>
        </w:rPr>
        <w:t>├── inference/</w:t>
      </w:r>
    </w:p>
    <w:p>
      <w:r>
        <w:rPr>
          <w:rFonts w:ascii="Consolas" w:hAnsi="Consolas"/>
          <w:sz w:val="20"/>
        </w:rPr>
        <w:t>│   ├── client.py          &lt;- router inference</w:t>
      </w:r>
    </w:p>
    <w:p>
      <w:r>
        <w:rPr>
          <w:rFonts w:ascii="Consolas" w:hAnsi="Consolas"/>
          <w:sz w:val="20"/>
        </w:rPr>
        <w:t>│   └── providers/</w:t>
      </w:r>
    </w:p>
    <w:p>
      <w:r>
        <w:rPr>
          <w:rFonts w:ascii="Consolas" w:hAnsi="Consolas"/>
          <w:sz w:val="20"/>
        </w:rPr>
        <w:t>│       ├── openai_provider.py</w:t>
      </w:r>
    </w:p>
    <w:p>
      <w:r>
        <w:rPr>
          <w:rFonts w:ascii="Consolas" w:hAnsi="Consolas"/>
          <w:sz w:val="20"/>
        </w:rPr>
        <w:t>│       ├── anthropic_provider.py</w:t>
      </w:r>
    </w:p>
    <w:p>
      <w:r>
        <w:rPr>
          <w:rFonts w:ascii="Consolas" w:hAnsi="Consolas"/>
          <w:sz w:val="20"/>
        </w:rPr>
        <w:t>│       └── ...</w:t>
      </w:r>
    </w:p>
    <w:p>
      <w:r>
        <w:rPr>
          <w:rFonts w:ascii="Consolas" w:hAnsi="Consolas"/>
          <w:sz w:val="20"/>
        </w:rPr>
        <w:t>│</w:t>
      </w:r>
    </w:p>
    <w:p>
      <w:r>
        <w:rPr>
          <w:rFonts w:ascii="Consolas" w:hAnsi="Consolas"/>
          <w:sz w:val="20"/>
        </w:rPr>
        <w:t>└── embedding/</w:t>
      </w:r>
    </w:p>
    <w:p>
      <w:r>
        <w:rPr>
          <w:rFonts w:ascii="Consolas" w:hAnsi="Consolas"/>
          <w:sz w:val="20"/>
        </w:rPr>
        <w:t xml:space="preserve">    ├── __init__.py</w:t>
      </w:r>
    </w:p>
    <w:p>
      <w:r>
        <w:rPr>
          <w:rFonts w:ascii="Consolas" w:hAnsi="Consolas"/>
          <w:sz w:val="20"/>
        </w:rPr>
        <w:t xml:space="preserve">    ├── client.py          &lt;- router embedding (file da implementare)</w:t>
      </w:r>
    </w:p>
    <w:p>
      <w:r>
        <w:rPr>
          <w:rFonts w:ascii="Consolas" w:hAnsi="Consolas"/>
          <w:sz w:val="20"/>
        </w:rPr>
        <w:t xml:space="preserve">    └── providers/</w:t>
      </w:r>
    </w:p>
    <w:p>
      <w:r>
        <w:rPr>
          <w:rFonts w:ascii="Consolas" w:hAnsi="Consolas"/>
          <w:sz w:val="20"/>
        </w:rPr>
        <w:t xml:space="preserve">        ├── __init__.py</w:t>
      </w:r>
    </w:p>
    <w:p>
      <w:r>
        <w:rPr>
          <w:rFonts w:ascii="Consolas" w:hAnsi="Consolas"/>
          <w:sz w:val="20"/>
        </w:rPr>
        <w:t xml:space="preserve">        ├── together_provider.py</w:t>
      </w:r>
    </w:p>
    <w:p>
      <w:r>
        <w:rPr>
          <w:rFonts w:ascii="Consolas" w:hAnsi="Consolas"/>
          <w:sz w:val="20"/>
        </w:rPr>
        <w:t xml:space="preserve">        └── openrouter_provider.py</w:t>
      </w:r>
    </w:p>
    <w:p>
      <w:pPr>
        <w:pStyle w:val="Heading2"/>
      </w:pPr>
      <w:r>
        <w:t>Test Associati</w:t>
      </w:r>
    </w:p>
    <w:p>
      <w:r>
        <w:t>Nell'esercitazione di Unit Testing e CI/CD hai creato il file tests/test_router.py con i test parametrici per il router di inferenza. Puoi estendere lo stesso approccio per testare anche generate_embedding():</w:t>
      </w:r>
    </w:p>
    <w:p>
      <w:pPr>
        <w:pStyle w:val="ListBullet"/>
      </w:pPr>
      <w:r>
        <w:t>Mocka call_together e call_openrouter come fatto per i provider di inferenza.</w:t>
      </w:r>
    </w:p>
    <w:p>
      <w:pPr>
        <w:pStyle w:val="ListBullet"/>
      </w:pPr>
      <w:r>
        <w:t>Usa @pytest.mark.parametrize con i valori "together" e "openrouter".</w:t>
      </w:r>
    </w:p>
    <w:p>
      <w:pPr>
        <w:pStyle w:val="ListBullet"/>
      </w:pPr>
      <w:r>
        <w:t>Verifica che un provider sconosciuto sollevi ValueError.</w:t>
      </w:r>
    </w:p>
    <w:p>
      <w:pPr>
        <w:pStyle w:val="Heading2"/>
      </w:pPr>
      <w:r>
        <w:t>Python per chi conosce Java: Riferimento Rapido</w:t>
      </w:r>
    </w:p>
    <w:p>
      <w:r>
        <w:t>Non è necessario leggere tutto in anticipo: consulta queste note man mano che hai dubbi sulla sintassi o sui concetti.</w:t>
      </w:r>
    </w:p>
    <w:p>
      <w:pPr>
        <w:pStyle w:val="ListBullet"/>
      </w:pPr>
      <w:r>
        <w:t>Funzioni: si definiscono con def nomefunzione(param1, param2): I tipi sono facoltativi ma consigliati (type hints). Il corpo vuoto si scrive con pass.</w:t>
      </w:r>
    </w:p>
    <w:p>
      <w:pPr>
        <w:pStyle w:val="ListBullet"/>
      </w:pPr>
      <w:r>
        <w:t>Dizionario (dict): equivalente di HashMap&lt;String, Object&gt;. Si crea con {"chiave": valore} e si accede con d["chiave"]. Campi annidati: d["livello1"]["livello2"].</w:t>
      </w:r>
    </w:p>
    <w:p>
      <w:pPr>
        <w:pStyle w:val="ListBullet"/>
      </w:pPr>
      <w:r>
        <w:t>Eccezioni: raise ValueError("msg") equivale a throw new IllegalArgumentException("msg"). La cattura si fa con try: ... except Exception as e: ...</w:t>
      </w:r>
    </w:p>
    <w:p>
      <w:pPr>
        <w:pStyle w:val="ListBullet"/>
      </w:pPr>
      <w:r>
        <w:t>Librerie esterne: si installano con pip install nome-libreria. Si importano con import nome_modulo o from nome_modulo import NomeFunzione.</w:t>
      </w:r>
    </w:p>
    <w:p>
      <w:pPr>
        <w:pStyle w:val="Heading2"/>
      </w:pPr>
      <w:r>
        <w:t>Risorse Python per Principianti</w:t>
      </w:r>
    </w:p>
    <w:p>
      <w:pPr>
        <w:pStyle w:val="ListBullet"/>
      </w:pPr>
      <w:r>
        <w:t>Tutorial ufficiale Python (funzioni, dizionari, import, eccezioni): https://docs.python.org/3/tutorial/</w:t>
      </w:r>
    </w:p>
    <w:p>
      <w:pPr>
        <w:pStyle w:val="ListBullet"/>
      </w:pPr>
      <w:r>
        <w:t>W3Schools Python (sintassi di base con esempi interattivi): https://www.w3schools.com/python/</w:t>
      </w:r>
    </w:p>
    <w:p>
      <w:pPr>
        <w:pStyle w:val="ListBullet"/>
      </w:pPr>
      <w:r>
        <w:t>Real Python (guide pratiche, include articoli per chi viene da Java): https://realpython.com/</w:t>
      </w:r>
    </w:p>
    <w:p>
      <w:pPr>
        <w:pStyle w:val="ListBullet"/>
      </w:pPr>
      <w:r>
        <w:t>Python Dizionari: https://docs.python.org/3/tutorial/datastructures.html#dictionaries</w:t>
      </w:r>
    </w:p>
    <w:p>
      <w:pPr>
        <w:pStyle w:val="ListBullet"/>
      </w:pPr>
      <w:r>
        <w:t>Documentazione API Embedding Together AI: https://docs.together.ai/docs/inference/embeddings/embeddings</w:t>
      </w:r>
    </w:p>
    <w:p>
      <w:pPr>
        <w:pStyle w:val="ListBullet"/>
      </w:pPr>
      <w:r>
        <w:t>Documentazione API Embedding OpenRouter: https://openrouter.ai/docs/api-reference/embeddings/create-embeddings</w:t>
      </w:r>
    </w:p>
    <w:p>
      <w:pPr>
        <w:pStyle w:val="Heading2"/>
      </w:pPr>
      <w:r>
        <w:t>Considerazioni Finali</w:t>
      </w:r>
    </w:p>
    <w:p>
      <w:r>
        <w:t>Il router di embedding segue esattamente lo stesso pattern architetturale del router di inferenza: un unico punto di ingresso che smista le chiamate ai provider corretti, nascondendo i dettagli implementativi al chiamante. Questa separazione delle responsabilità permette di aggiungere nuovi provider di embedding in futuro modificando solo client.py, senza toccare il resto del codice.</w:t>
      </w:r>
    </w:p>
    <w:p>
      <w:r>
        <w:t>La differenza principale tra i due router è nel dominio: l'inferenza produce testo, l'embedding produce vettori. Ma dal punto di vista dell'architettura software, il pattern è identico: import, if/elif, return. Riconoscere pattern ricorrenti e riapplicarli in contesti diversi è una delle competenze più importanti nello sviluppo software.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