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olo1"/>
      </w:pPr>
      <w:r>
        <w:t>Libreria Python Multi-Provider LLM - Embedding Provider Together AI</w:t>
      </w:r>
    </w:p>
    <w:p>
      <w:pPr>
        <w:pStyle w:val="Titolo2"/>
      </w:pPr>
      <w:r>
        <w:t>Obiettivo del Modulo</w:t>
      </w:r>
    </w:p>
    <w:p>
      <w:r>
        <w:t>Implementare il file ns_llm/embedding/providers/together_provider.py, che espone la funzione call_together(). Questo provider utilizza le API di Together AI per generare embedding testuali tramite la libreria Python ufficiale. Il meccanismo di embedding e' concettualmente diverso dall'inference: invece di generare testo, la funzione converte una stringa in un vettore numerico che rappresenta il significato semantico del testo nello spazio latente del modello.</w:t>
      </w:r>
    </w:p>
    <w:p>
      <w:pPr>
        <w:pStyle w:val="Titolo2"/>
      </w:pPr>
      <w:r>
        <w:t>Firma della Funzione</w:t>
      </w:r>
    </w:p>
    <w:p>
      <w:r>
        <w:t>La firma seguente e' il contratto che il router di embedding si aspetta. Non modificare i nomi o l'ordine dei parametri.</w:t>
      </w:r>
    </w:p>
    <w:p>
      <w:pPr>
        <w:shd w:val="clear" w:color="auto" w:fill="F2F2F2"/>
        <w:ind w:left="360"/>
      </w:pPr>
      <w:r>
        <w:rPr>
          <w:rFonts w:ascii="Courier New" w:hAnsi="Courier New"/>
          <w:sz w:val="18"/>
        </w:rPr>
        <w:t>def call_together(</w:t>
        <w:br/>
        <w:t xml:space="preserve">    model: str,</w:t>
        <w:br/>
        <w:t xml:space="preserve">    input: str,</w:t>
        <w:br/>
        <w:t xml:space="preserve">    input_type: str,</w:t>
        <w:br/>
        <w:t xml:space="preserve">    dimensions: int,</w:t>
        <w:br/>
        <w:t xml:space="preserve">    api_key: str</w:t>
        <w:br/>
        <w:t>) -&gt; dict:</w:t>
        <w:br/>
        <w:t xml:space="preserve">    pass</w:t>
      </w:r>
    </w:p>
    <w:p>
      <w:pPr>
        <w:pStyle w:val="Titolo2"/>
      </w:pPr>
      <w:r>
        <w:t>Descrizione Parametri</w:t>
      </w:r>
    </w:p>
    <w:tbl>
      <w:tblPr>
        <w:tblStyle w:val="Grigliatabella"/>
        <w:tblW w:type="auto" w:w="0"/>
        <w:tblLook w:firstColumn="1" w:firstRow="1" w:lastColumn="0" w:lastRow="0" w:noHBand="0" w:noVBand="1" w:val="04A0"/>
      </w:tblPr>
      <w:tblGrid>
        <w:gridCol w:w="4320"/>
        <w:gridCol w:w="4320"/>
      </w:tblGrid>
      <w:tr>
        <w:tc>
          <w:tcPr>
            <w:tcW w:type="dxa" w:w="4320"/>
          </w:tcPr>
          <w:p>
            <w:r>
              <w:rPr>
                <w:b/>
              </w:rPr>
              <w:t>Parametro</w:t>
            </w:r>
          </w:p>
        </w:tc>
        <w:tc>
          <w:tcPr>
            <w:tcW w:type="dxa" w:w="4320"/>
          </w:tcPr>
          <w:p>
            <w:r>
              <w:rPr>
                <w:b/>
              </w:rPr>
              <w:t>Descrizione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model</w:t>
            </w:r>
          </w:p>
        </w:tc>
        <w:tc>
          <w:tcPr>
            <w:tcW w:type="dxa" w:w="4320"/>
          </w:tcPr>
          <w:p>
            <w:r>
              <w:t>Nome del modello di embedding da utilizzare (es. "intfloat/multilingual-e5-large-instruct").</w:t>
            </w:r>
          </w:p>
        </w:tc>
      </w:tr>
      <w:tr>
        <w:tc>
          <w:tcPr>
            <w:tcW w:type="dxa" w:w="4320"/>
          </w:tcPr>
          <w:p>
            <w:r>
              <w:t>input</w:t>
            </w:r>
          </w:p>
        </w:tc>
        <w:tc>
          <w:tcPr>
            <w:tcW w:type="dxa" w:w="4320"/>
          </w:tcPr>
          <w:p>
            <w:r>
              <w:t>Stringa di testo da convertire in vettore.</w:t>
            </w:r>
          </w:p>
        </w:tc>
      </w:tr>
      <w:tr>
        <w:tc>
          <w:tcPr>
            <w:tcW w:type="dxa" w:w="4320"/>
          </w:tcPr>
          <w:p>
            <w:r>
              <w:t>input_type</w:t>
            </w:r>
          </w:p>
        </w:tc>
        <w:tc>
          <w:tcPr>
            <w:tcW w:type="dxa" w:w="4320"/>
          </w:tcPr>
          <w:p>
            <w:r>
              <w:t>Tipo semantico del testo: tipicamente "search_query" (domanda di ricerca) o "search_document" (documento da indicizzare). Usato da modelli asimmetrici per ottimizzare la rappresentazione vettoriale in base al ruolo del testo. Attenzione: verificare nella documentazione del modello scelto se questo parametro e' supportato e come deve essere passato all'SDK.</w:t>
            </w:r>
          </w:p>
        </w:tc>
      </w:tr>
      <w:tr>
        <w:tc>
          <w:tcPr>
            <w:tcW w:type="dxa" w:w="4320"/>
          </w:tcPr>
          <w:p>
            <w:r>
              <w:t>dimensions</w:t>
            </w:r>
          </w:p>
        </w:tc>
        <w:tc>
          <w:tcPr>
            <w:tcW w:type="dxa" w:w="4320"/>
          </w:tcPr>
          <w:p>
            <w:r>
              <w:t>Numero di dimensioni del vettore di output. Permette di ridurre la dimensionalita' dell'embedding per ottimizzare storage e velocita'. Attenzione: non tutti i modelli supportano questo parametro. Verificare nella documentazione del modello scelto.</w:t>
            </w:r>
          </w:p>
        </w:tc>
      </w:tr>
      <w:tr>
        <w:tc>
          <w:tcPr>
            <w:tcW w:type="dxa" w:w="4320"/>
          </w:tcPr>
          <w:p>
            <w:r>
              <w:t>api_key</w:t>
            </w:r>
          </w:p>
        </w:tc>
        <w:tc>
          <w:tcPr>
            <w:tcW w:type="dxa" w:w="4320"/>
          </w:tcPr>
          <w:p>
            <w:r>
              <w:t>Chiave API di Together AI.</w:t>
            </w:r>
          </w:p>
        </w:tc>
      </w:tr>
    </w:tbl>
    <w:p>
      <w:pPr>
        <w:pStyle w:val="Titolo2"/>
      </w:pPr>
      <w:r>
        <w:t>Formato di Ritorno</w:t>
      </w:r>
    </w:p>
    <w:p>
      <w:r>
        <w:t>La funzione deve restituire un dizionario Python con la seguente struttura, identica per tutti i provider di embedding.</w:t>
      </w:r>
    </w:p>
    <w:tbl>
      <w:tblPr>
        <w:tblStyle w:val="Grigliatabella"/>
        <w:tblW w:type="auto" w:w="0"/>
        <w:tblLook w:firstColumn="1" w:firstRow="1" w:lastColumn="0" w:lastRow="0" w:noHBand="0" w:noVBand="1" w:val="04A0"/>
      </w:tblPr>
      <w:tblGrid>
        <w:gridCol w:w="2880"/>
        <w:gridCol w:w="2880"/>
        <w:gridCol w:w="2880"/>
      </w:tblGrid>
      <w:tr>
        <w:tc>
          <w:tcPr>
            <w:tcW w:type="dxa" w:w="2880"/>
          </w:tcPr>
          <w:p>
            <w:r>
              <w:rPr>
                <w:b/>
              </w:rPr>
              <w:t>Chiave</w:t>
            </w:r>
          </w:p>
        </w:tc>
        <w:tc>
          <w:tcPr>
            <w:tcW w:type="dxa" w:w="2880"/>
          </w:tcPr>
          <w:p>
            <w:r>
              <w:rPr>
                <w:b/>
              </w:rPr>
              <w:t>Tipo</w:t>
            </w:r>
          </w:p>
        </w:tc>
        <w:tc>
          <w:tcPr>
            <w:tcW w:type="dxa" w:w="2880"/>
          </w:tcPr>
          <w:p>
            <w:r>
              <w:rPr>
                <w:b/>
              </w:rPr>
              <w:t>Descrizione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embedding</w:t>
            </w:r>
          </w:p>
        </w:tc>
        <w:tc>
          <w:tcPr>
            <w:tcW w:type="dxa" w:w="2880"/>
          </w:tcPr>
          <w:p>
            <w:r>
              <w:t>list[float]</w:t>
            </w:r>
          </w:p>
        </w:tc>
        <w:tc>
          <w:tcPr>
            <w:tcW w:type="dxa" w:w="2880"/>
          </w:tcPr>
          <w:p>
            <w:r>
              <w:t>Vettore di numeri floating-point che rappresenta il testo nello spazio semantico.</w:t>
            </w:r>
          </w:p>
        </w:tc>
      </w:tr>
      <w:tr>
        <w:tc>
          <w:tcPr>
            <w:tcW w:type="dxa" w:w="2880"/>
          </w:tcPr>
          <w:p>
            <w:r>
              <w:t>input_tokens</w:t>
            </w:r>
          </w:p>
        </w:tc>
        <w:tc>
          <w:tcPr>
            <w:tcW w:type="dxa" w:w="2880"/>
          </w:tcPr>
          <w:p>
            <w:r>
              <w:t>int</w:t>
            </w:r>
          </w:p>
        </w:tc>
        <w:tc>
          <w:tcPr>
            <w:tcW w:type="dxa" w:w="2880"/>
          </w:tcPr>
          <w:p>
            <w:r>
              <w:t>Numero di token nel testo inviato (se disponibile nella risposta del provider, altrimenti 0).</w:t>
            </w:r>
          </w:p>
        </w:tc>
      </w:tr>
    </w:tbl>
    <w:p>
      <w:pPr>
        <w:pStyle w:val="Titolo2"/>
      </w:pPr>
      <w:r>
        <w:t>Librerie Necessarie</w:t>
      </w:r>
    </w:p>
    <w:p>
      <w:r>
        <w:t>Together AI fornisce una libreria Python ufficiale. Utilizzarla per questa implementazione.</w:t>
      </w:r>
    </w:p>
    <w:p>
      <w:pPr>
        <w:shd w:val="clear" w:color="auto" w:fill="F2F2F2"/>
        <w:ind w:left="360"/>
      </w:pPr>
      <w:r>
        <w:rPr>
          <w:rFonts w:ascii="Courier New" w:hAnsi="Courier New"/>
          <w:sz w:val="18"/>
        </w:rPr>
        <w:t>pip install together</w:t>
      </w:r>
    </w:p>
    <w:p>
      <w:r>
        <w:t>Documentazione SDK Python: https://docs.together.ai/docs/quickstart</w:t>
      </w:r>
    </w:p>
    <w:p>
      <w:pPr>
        <w:pStyle w:val="Titolo2"/>
      </w:pPr>
      <w:r>
        <w:t>Note per l'Implementazione</w:t>
      </w:r>
    </w:p>
    <w:p>
      <w:r>
        <w:t>Riferimento API: https://docs.together.ai/docs/inference/embeddings/embeddings</w:t>
      </w:r>
    </w:p>
    <w:p>
      <w:r>
        <w:t>Riferimento parametri completo: https://docs.together.ai/reference/embeddings</w:t>
      </w:r>
    </w:p>
    <w:p>
      <w:pPr>
        <w:ind w:left="283"/>
      </w:pPr>
      <w:r>
        <w:t>• Modello disponibile su serverless: intfloat/multilingual-e5-large-instruct (1024 dimensioni, finestra di 514 token, $0.02 per 1M token). E' l'unico modello di embedding disponibile sul piano serverless al momento della stesura di questo documento: consultare la documentazione aggiornata per eventuali nuove aggiunte.</w:t>
      </w:r>
    </w:p>
    <w:p>
      <w:pPr>
        <w:ind w:left="283"/>
      </w:pPr>
      <w:r>
        <w:t>• Il client di Together AI espone il metodo embeddings.create(), analogo a quello gia' usato per le chat completions ma con parametri diversi. Consultare il riferimento API per la lista esatta dei parametri accettati dalla chiamata.</w:t>
      </w:r>
    </w:p>
    <w:p>
      <w:pPr>
        <w:ind w:left="283"/>
      </w:pPr>
      <w:r>
        <w:t>• ATTENZIONE - input_type: verificare attentamente nella documentazione del modello e dell'SDK se questo parametro e' accettato e con quale nome. Il modello intfloat/multilingual-e5-large-instruct e' un modello instruction-tuned per l'embedding: il modo corretto di gestire la distinzione query/documento potrebbe essere tramite un prefisso nel testo oppure tramite un parametro dedicato. Leggere la scheda del modello prima di procedere. Se il parametro non e' supportato dalla chiamata SDK, ignorarlo nell'implementazione e documentare il comportamento.</w:t>
      </w:r>
    </w:p>
    <w:p>
      <w:pPr>
        <w:ind w:left="283"/>
      </w:pPr>
      <w:r>
        <w:t>• ATTENZIONE - dimensions: verificare nella documentazione se il modello scelto supporta la riduzione dimensionale. Il modello intfloat/multilingual-e5-large-instruct ha dimensionalita' fissa a 1024: passare un valore di dimensions potrebbe causare un errore o essere semplicemente ignorato. Gestire questo caso nell'implementazione (es. passare il parametro solo se dimensions &gt; 0).</w:t>
      </w:r>
    </w:p>
    <w:p>
      <w:pPr>
        <w:ind w:left="283"/>
      </w:pPr>
      <w:r>
        <w:t>• La risposta e' un oggetto Python con attributi. Il campo data e' una lista: ogni elemento corrisponde a un input. Per una singola stringa, l'embedding si trova in data[0].embedding.</w:t>
      </w:r>
    </w:p>
    <w:p>
      <w:pPr>
        <w:ind w:left="283"/>
      </w:pPr>
      <w:r>
        <w:t>• La risposta della API potrebbe non includere un campo usage con il conteggio dei token. Verificare la struttura effettiva della risposta e restituire 0 per input_tokens se non disponibile.</w:t>
      </w:r>
    </w:p>
    <w:p>
      <w:pPr>
        <w:pStyle w:val="Titolo2"/>
      </w:pPr>
      <w:r>
        <w:t>Posizione nel Progetto</w:t>
      </w:r>
    </w:p>
    <w:p>
      <w:r>
        <w:t>Il file da creare e' ns_llm/embedding/providers/together_provider.py. Deve trovarsi nella sottocartella providers/ del sottomodulo embedding. Il router di embedding (ns_llm/embedding/client.py, implementato in un task successivo) importera' la funzione direttamente da questo file.</w:t>
      </w:r>
    </w:p>
    <w:p>
      <w:pPr>
        <w:shd w:val="clear" w:color="auto" w:fill="F2F2F2"/>
        <w:ind w:left="360"/>
      </w:pPr>
      <w:r>
        <w:rPr>
          <w:rFonts w:ascii="Courier New" w:hAnsi="Courier New"/>
          <w:sz w:val="18"/>
        </w:rPr>
        <w:t>ns_llm/</w:t>
        <w:br/>
        <w:t>|</w:t>
        <w:br/>
        <w:t>├── inference/</w:t>
        <w:br/>
        <w:t>│   └── ...</w:t>
        <w:br/>
        <w:t>|</w:t>
        <w:br/>
        <w:t>└── embedding/</w:t>
        <w:br/>
        <w:t xml:space="preserve">    ├── __init__.py</w:t>
        <w:br/>
        <w:t xml:space="preserve">    ├── client.py                &lt;- router embedding (futuro)</w:t>
        <w:br/>
        <w:t xml:space="preserve">    └── providers/</w:t>
        <w:br/>
        <w:t xml:space="preserve">        ├── __init__.py</w:t>
        <w:br/>
        <w:t xml:space="preserve">        ├── together_provider.py     &lt;-- file da implementare</w:t>
        <w:br/>
        <w:t xml:space="preserve">        └── openrouter_provider.py</w:t>
      </w:r>
    </w:p>
    <w:p>
      <w:pPr>
        <w:pStyle w:val="Titolo2"/>
      </w:pPr>
      <w:r>
        <w:t>Risorse Python per Principianti</w:t>
      </w:r>
    </w:p>
    <w:p>
      <w:r>
        <w:t>Non e' necessario leggere tutto in anticipo: consulta queste risorse man mano che hai dubbi. La documentazione ufficiale dell'SDK rimane la fonte piu' importante.</w:t>
      </w:r>
    </w:p>
    <w:tbl>
      <w:tblPr>
        <w:tblStyle w:val="Grigliatabella"/>
        <w:tblW w:type="auto" w:w="0"/>
        <w:tblLook w:firstColumn="1" w:firstRow="1" w:lastColumn="0" w:lastRow="0" w:noHBand="0" w:noVBand="1" w:val="04A0"/>
      </w:tblPr>
      <w:tblGrid>
        <w:gridCol w:w="2880"/>
        <w:gridCol w:w="2880"/>
        <w:gridCol w:w="2880"/>
      </w:tblGrid>
      <w:tr>
        <w:tc>
          <w:tcPr>
            <w:tcW w:type="dxa" w:w="2880"/>
          </w:tcPr>
          <w:p>
            <w:r>
              <w:rPr>
                <w:b/>
              </w:rPr>
              <w:t>Concetto Python</w:t>
            </w:r>
          </w:p>
        </w:tc>
        <w:tc>
          <w:tcPr>
            <w:tcW w:type="dxa" w:w="2880"/>
          </w:tcPr>
          <w:p>
            <w:r>
              <w:rPr>
                <w:b/>
              </w:rPr>
              <w:t>Equivalente Java</w:t>
            </w:r>
          </w:p>
        </w:tc>
        <w:tc>
          <w:tcPr>
            <w:tcW w:type="dxa" w:w="2880"/>
          </w:tcPr>
          <w:p>
            <w:r>
              <w:rPr>
                <w:b/>
              </w:rPr>
              <w:t>Note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list[float]</w:t>
            </w:r>
          </w:p>
        </w:tc>
        <w:tc>
          <w:tcPr>
            <w:tcW w:type="dxa" w:w="2880"/>
          </w:tcPr>
          <w:p>
            <w:r>
              <w:t>List&lt;Float&gt;</w:t>
            </w:r>
          </w:p>
        </w:tc>
        <w:tc>
          <w:tcPr>
            <w:tcW w:type="dxa" w:w="2880"/>
          </w:tcPr>
          <w:p>
            <w:r>
              <w:t>Tipo restituito dall'embedding: lista di numeri decimali.</w:t>
            </w:r>
          </w:p>
        </w:tc>
      </w:tr>
      <w:tr>
        <w:tc>
          <w:tcPr>
            <w:tcW w:type="dxa" w:w="2880"/>
          </w:tcPr>
          <w:p>
            <w:r>
              <w:t>response.data[0]</w:t>
            </w:r>
          </w:p>
        </w:tc>
        <w:tc>
          <w:tcPr>
            <w:tcW w:type="dxa" w:w="2880"/>
          </w:tcPr>
          <w:p>
            <w:r>
              <w:t>oggetto con getter</w:t>
            </w:r>
          </w:p>
        </w:tc>
        <w:tc>
          <w:tcPr>
            <w:tcW w:type="dxa" w:w="2880"/>
          </w:tcPr>
          <w:p>
            <w:r>
              <w:t>Accesso al primo elemento della lista tramite attributo, non metodo.</w:t>
            </w:r>
          </w:p>
        </w:tc>
      </w:tr>
      <w:tr>
        <w:tc>
          <w:tcPr>
            <w:tcW w:type="dxa" w:w="2880"/>
          </w:tcPr>
          <w:p>
            <w:r>
              <w:t>oggetto.campo</w:t>
            </w:r>
          </w:p>
        </w:tc>
        <w:tc>
          <w:tcPr>
            <w:tcW w:type="dxa" w:w="2880"/>
          </w:tcPr>
          <w:p>
            <w:r>
              <w:t>oggetto.getCampo()</w:t>
            </w:r>
          </w:p>
        </w:tc>
        <w:tc>
          <w:tcPr>
            <w:tcW w:type="dxa" w:w="2880"/>
          </w:tcPr>
          <w:p>
            <w:r>
              <w:t>In Python gli attributi degli oggetti si accedono senza parentesi.</w:t>
            </w:r>
          </w:p>
        </w:tc>
      </w:tr>
      <w:tr>
        <w:tc>
          <w:tcPr>
            <w:tcW w:type="dxa" w:w="2880"/>
          </w:tcPr>
          <w:p>
            <w:r>
              <w:t>int o 0</w:t>
            </w:r>
          </w:p>
        </w:tc>
        <w:tc>
          <w:tcPr>
            <w:tcW w:type="dxa" w:w="2880"/>
          </w:tcPr>
          <w:p>
            <w:r>
              <w:t>Optional&lt;Integer&gt;</w:t>
            </w:r>
          </w:p>
        </w:tc>
        <w:tc>
          <w:tcPr>
            <w:tcW w:type="dxa" w:w="2880"/>
          </w:tcPr>
          <w:p>
            <w:r>
              <w:t>Se il campo non e' presente nella risposta, restituire 0 come fallback.</w:t>
            </w:r>
          </w:p>
        </w:tc>
      </w:tr>
      <w:tr>
        <w:tc>
          <w:tcPr>
            <w:tcW w:type="dxa" w:w="2880"/>
          </w:tcPr>
          <w:p>
            <w:r>
              <w:t>param if cond</w:t>
            </w:r>
          </w:p>
        </w:tc>
        <w:tc>
          <w:tcPr>
            <w:tcW w:type="dxa" w:w="2880"/>
          </w:tcPr>
          <w:p>
            <w:r>
              <w:t>cond ? param : null</w:t>
            </w:r>
          </w:p>
        </w:tc>
        <w:tc>
          <w:tcPr>
            <w:tcW w:type="dxa" w:w="2880"/>
          </w:tcPr>
          <w:p>
            <w:r>
              <w:t>Passare un parametro opzionale solo se la condizione e' vera.</w:t>
            </w:r>
          </w:p>
        </w:tc>
      </w:tr>
    </w:tbl>
    <w:p>
      <w:pPr>
        <w:pStyle w:val="Titolo2"/>
      </w:pPr>
      <w:r>
        <w:t>Considerazioni Finali</w:t>
      </w:r>
    </w:p>
    <w:p>
      <w:r>
        <w:t>L'embedding e' l'operazione fondamentale alla base di molte applicazioni AI moderne: ricerca semantica, RAG (Retrieval-Augmented Generation), classificazione di testi, sistemi di raccomandazione. La distinzione tra query e documento (input_type) riflette un'asimmetria presente in molti modelli moderni: la rappresentazione ottimale di una domanda di ricerca e' diversa da quella di un documento da indicizzare.</w:t>
      </w:r>
    </w:p>
    <w:p>
      <w:r>
        <w:t>Questa esercitazione introduce anche un pattern importante nella gestione di parametri opzionali: la firma del contratto include parametri che non tutti i provider o modelli supportano. E' responsabilita' dell'implementazione gestire questi casi, ad esempio ignorando il parametro o sollevando un avviso, senza interrompere il contratto verso il chiamante.</w:t>
      </w:r>
    </w:p>
    <w:sectPr w:rsidR="008B6F32" w:rsidRPr="00FC6E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29582344">
    <w:abstractNumId w:val="8"/>
  </w:num>
  <w:num w:numId="2" w16cid:durableId="1213541823">
    <w:abstractNumId w:val="6"/>
  </w:num>
  <w:num w:numId="3" w16cid:durableId="1849753951">
    <w:abstractNumId w:val="5"/>
  </w:num>
  <w:num w:numId="4" w16cid:durableId="867566638">
    <w:abstractNumId w:val="4"/>
  </w:num>
  <w:num w:numId="5" w16cid:durableId="221135703">
    <w:abstractNumId w:val="7"/>
  </w:num>
  <w:num w:numId="6" w16cid:durableId="150562614">
    <w:abstractNumId w:val="3"/>
  </w:num>
  <w:num w:numId="7" w16cid:durableId="995065120">
    <w:abstractNumId w:val="2"/>
  </w:num>
  <w:num w:numId="8" w16cid:durableId="139806022">
    <w:abstractNumId w:val="1"/>
  </w:num>
  <w:num w:numId="9" w16cid:durableId="179301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002"/>
    <w:rsid w:val="00631E01"/>
    <w:rsid w:val="007B5059"/>
    <w:rsid w:val="00824BF2"/>
    <w:rsid w:val="008B6F32"/>
    <w:rsid w:val="00AA1D8D"/>
    <w:rsid w:val="00B47730"/>
    <w:rsid w:val="00CB0664"/>
    <w:rsid w:val="00FA09C1"/>
    <w:rsid w:val="00FC693F"/>
    <w:rsid w:val="00FC6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872D9"/>
  <w14:defaultImageDpi w14:val="300"/>
  <w15:docId w15:val="{35EBAF53-E584-4DB2-906E-38F11CF4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662</Words>
  <Characters>3776</Characters>
  <Application>Microsoft Office Word</Application>
  <DocSecurity>0</DocSecurity>
  <Lines>31</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Davide Boldini</cp:lastModifiedBy>
  <cp:revision>4</cp:revision>
  <dcterms:created xsi:type="dcterms:W3CDTF">2013-12-23T23:15:00Z</dcterms:created>
  <dcterms:modified xsi:type="dcterms:W3CDTF">2026-05-19T14:56:00Z</dcterms:modified>
  <cp:category/>
</cp:coreProperties>
</file>