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50" w:rsidRPr="00A04EFD" w:rsidRDefault="00CB3C50" w:rsidP="00CB3C50">
      <w:pPr>
        <w:pStyle w:val="Heading1"/>
      </w:pPr>
      <w:bookmarkStart w:id="0" w:name="_Toc476280395"/>
      <w:bookmarkStart w:id="1" w:name="_Toc520721680"/>
      <w:bookmarkStart w:id="2" w:name="_Toc1399895"/>
      <w:bookmarkStart w:id="3" w:name="_Toc476280399"/>
      <w:bookmarkStart w:id="4" w:name="_Toc248577595"/>
      <w:bookmarkStart w:id="5" w:name="_Toc341781136"/>
      <w:bookmarkStart w:id="6" w:name="_Toc520721683"/>
      <w:bookmarkStart w:id="7" w:name="_Toc1399896"/>
      <w:r w:rsidRPr="00A04EFD">
        <w:t>Scopo</w:t>
      </w:r>
      <w:bookmarkEnd w:id="0"/>
      <w:bookmarkEnd w:id="1"/>
      <w:bookmarkEnd w:id="2"/>
    </w:p>
    <w:p w:rsidR="00CB3C50" w:rsidRPr="00A04EFD" w:rsidRDefault="00CB3C50" w:rsidP="00CB3C50">
      <w:r>
        <w:t>G</w:t>
      </w:r>
      <w:r w:rsidRPr="00A04EFD">
        <w:t>estione dei dati di misura gas necessari per la fatturazione delle vendite al citygate</w:t>
      </w:r>
      <w:r>
        <w:t>.</w:t>
      </w:r>
    </w:p>
    <w:p w:rsidR="00CB3C50" w:rsidRPr="00A04EFD" w:rsidRDefault="00CB3C50" w:rsidP="00CB3C50">
      <w:pPr>
        <w:pStyle w:val="Heading1"/>
      </w:pPr>
      <w:r w:rsidRPr="00A04EFD">
        <w:t>Definizioni</w:t>
      </w:r>
      <w:bookmarkEnd w:id="3"/>
      <w:bookmarkEnd w:id="4"/>
      <w:bookmarkEnd w:id="5"/>
      <w:bookmarkEnd w:id="6"/>
      <w:bookmarkEnd w:id="7"/>
    </w:p>
    <w:p w:rsidR="00CB3C50" w:rsidRPr="00A04EFD" w:rsidRDefault="00CB3C50" w:rsidP="00CB3C50">
      <w:bookmarkStart w:id="8" w:name="_Toc476280400"/>
      <w:bookmarkStart w:id="9" w:name="_Toc248577596"/>
      <w:bookmarkStart w:id="10" w:name="_Toc341781137"/>
      <w:bookmarkStart w:id="11" w:name="_Toc520721684"/>
      <w:r w:rsidRPr="00A04EFD">
        <w:rPr>
          <w:b/>
        </w:rPr>
        <w:t>Cabina REMI</w:t>
      </w:r>
      <w:r w:rsidRPr="00A04EFD">
        <w:t>: Cabina di R</w:t>
      </w:r>
      <w:r>
        <w:t>e</w:t>
      </w:r>
      <w:r w:rsidRPr="00A04EFD">
        <w:t>golazione e M</w:t>
      </w:r>
      <w:r>
        <w:t>i</w:t>
      </w:r>
      <w:r w:rsidRPr="00A04EFD">
        <w:t>sura ovvero il punto di consegna del gas da parte della società di Trasporto alla società di Distribuzione</w:t>
      </w:r>
    </w:p>
    <w:p w:rsidR="00CB3C50" w:rsidRPr="00A04EFD" w:rsidRDefault="00CB3C50" w:rsidP="00CB3C50">
      <w:r w:rsidRPr="00A04EFD">
        <w:rPr>
          <w:b/>
        </w:rPr>
        <w:t>IdSede</w:t>
      </w:r>
      <w:r w:rsidRPr="00A04EFD">
        <w:t>: Oggetto tecnico dell’attuale sistema di fatturazione Trilance che identifica il punto su cui devono essere caricate le misure gas ai fini della fatturazione</w:t>
      </w:r>
    </w:p>
    <w:p w:rsidR="00CB3C50" w:rsidRPr="00A04EFD" w:rsidRDefault="00CB3C50" w:rsidP="00CB3C50">
      <w:pPr>
        <w:pStyle w:val="Heading1"/>
      </w:pPr>
      <w:bookmarkStart w:id="12" w:name="_Toc1399897"/>
      <w:r w:rsidRPr="00A04EFD">
        <w:t>Abbreviazioni</w:t>
      </w:r>
      <w:bookmarkEnd w:id="8"/>
      <w:bookmarkEnd w:id="9"/>
      <w:bookmarkEnd w:id="10"/>
      <w:bookmarkEnd w:id="11"/>
      <w:bookmarkEnd w:id="12"/>
    </w:p>
    <w:p w:rsidR="00CB3C50" w:rsidRPr="00A04EFD" w:rsidRDefault="00CB3C50" w:rsidP="00CB3C50">
      <w:pPr>
        <w:pStyle w:val="ListParagraph"/>
        <w:numPr>
          <w:ilvl w:val="0"/>
          <w:numId w:val="5"/>
        </w:numPr>
        <w:tabs>
          <w:tab w:val="left" w:pos="-169"/>
          <w:tab w:val="left" w:pos="0"/>
        </w:tabs>
        <w:suppressAutoHyphens/>
        <w:spacing w:line="276" w:lineRule="auto"/>
        <w:rPr>
          <w:rFonts w:ascii="Century Gothic" w:hAnsi="Century Gothic"/>
          <w:sz w:val="20"/>
          <w:szCs w:val="20"/>
        </w:rPr>
      </w:pPr>
      <w:r w:rsidRPr="00A04EFD">
        <w:rPr>
          <w:rFonts w:ascii="Century Gothic" w:hAnsi="Century Gothic"/>
          <w:b/>
          <w:sz w:val="20"/>
          <w:szCs w:val="20"/>
        </w:rPr>
        <w:t>UdB</w:t>
      </w:r>
      <w:r w:rsidRPr="00A04EFD">
        <w:rPr>
          <w:rFonts w:ascii="Century Gothic" w:hAnsi="Century Gothic"/>
          <w:sz w:val="20"/>
          <w:szCs w:val="20"/>
        </w:rPr>
        <w:t>: Utente del Bilanciamento</w:t>
      </w:r>
    </w:p>
    <w:p w:rsidR="00CB3C50" w:rsidRPr="00A04EFD" w:rsidRDefault="00CB3C50" w:rsidP="00CB3C50">
      <w:pPr>
        <w:pStyle w:val="ListParagraph"/>
        <w:numPr>
          <w:ilvl w:val="0"/>
          <w:numId w:val="5"/>
        </w:numPr>
        <w:tabs>
          <w:tab w:val="left" w:pos="-169"/>
          <w:tab w:val="left" w:pos="0"/>
        </w:tabs>
        <w:suppressAutoHyphens/>
        <w:spacing w:line="276" w:lineRule="auto"/>
        <w:rPr>
          <w:rFonts w:ascii="Century Gothic" w:hAnsi="Century Gothic"/>
          <w:sz w:val="20"/>
          <w:szCs w:val="20"/>
        </w:rPr>
      </w:pPr>
      <w:r w:rsidRPr="00A04EFD">
        <w:rPr>
          <w:rFonts w:ascii="Century Gothic" w:hAnsi="Century Gothic"/>
          <w:b/>
          <w:sz w:val="20"/>
          <w:szCs w:val="20"/>
        </w:rPr>
        <w:t>UdD</w:t>
      </w:r>
      <w:r w:rsidRPr="00A04EFD">
        <w:rPr>
          <w:rFonts w:ascii="Century Gothic" w:hAnsi="Century Gothic"/>
          <w:sz w:val="20"/>
          <w:szCs w:val="20"/>
        </w:rPr>
        <w:t>: Utente della Distribuzione</w:t>
      </w:r>
    </w:p>
    <w:p w:rsidR="00CB3C50" w:rsidRPr="00A04EFD" w:rsidRDefault="00CB3C50" w:rsidP="00CB3C50">
      <w:pPr>
        <w:pStyle w:val="ListParagraph"/>
        <w:numPr>
          <w:ilvl w:val="0"/>
          <w:numId w:val="5"/>
        </w:numPr>
        <w:tabs>
          <w:tab w:val="left" w:pos="-169"/>
          <w:tab w:val="left" w:pos="0"/>
        </w:tabs>
        <w:suppressAutoHyphens/>
        <w:spacing w:line="276" w:lineRule="auto"/>
        <w:rPr>
          <w:rFonts w:ascii="Century Gothic" w:hAnsi="Century Gothic"/>
          <w:sz w:val="20"/>
          <w:szCs w:val="20"/>
        </w:rPr>
      </w:pPr>
      <w:r w:rsidRPr="00A04EFD">
        <w:rPr>
          <w:rFonts w:ascii="Century Gothic" w:hAnsi="Century Gothic"/>
          <w:b/>
          <w:sz w:val="20"/>
          <w:szCs w:val="20"/>
        </w:rPr>
        <w:t>PCS</w:t>
      </w:r>
      <w:r w:rsidRPr="00A04EFD">
        <w:rPr>
          <w:rFonts w:ascii="Century Gothic" w:hAnsi="Century Gothic"/>
          <w:sz w:val="20"/>
          <w:szCs w:val="20"/>
        </w:rPr>
        <w:t xml:space="preserve">: Potere Calorifico Superiore </w:t>
      </w:r>
    </w:p>
    <w:p w:rsidR="00CB3C50" w:rsidRPr="00A04EFD" w:rsidRDefault="00CB3C50" w:rsidP="00CB3C50">
      <w:pPr>
        <w:pStyle w:val="ListParagraph"/>
        <w:numPr>
          <w:ilvl w:val="0"/>
          <w:numId w:val="5"/>
        </w:numPr>
        <w:tabs>
          <w:tab w:val="left" w:pos="-169"/>
          <w:tab w:val="left" w:pos="0"/>
        </w:tabs>
        <w:suppressAutoHyphens/>
        <w:spacing w:line="276" w:lineRule="auto"/>
        <w:rPr>
          <w:rFonts w:ascii="Century Gothic" w:hAnsi="Century Gothic"/>
          <w:sz w:val="20"/>
          <w:szCs w:val="20"/>
        </w:rPr>
      </w:pPr>
      <w:r w:rsidRPr="00A04EFD">
        <w:rPr>
          <w:rFonts w:ascii="Century Gothic" w:hAnsi="Century Gothic"/>
          <w:b/>
          <w:sz w:val="20"/>
          <w:szCs w:val="20"/>
        </w:rPr>
        <w:t>MWh</w:t>
      </w:r>
      <w:r w:rsidRPr="00A04EFD">
        <w:rPr>
          <w:rFonts w:ascii="Century Gothic" w:hAnsi="Century Gothic"/>
          <w:sz w:val="20"/>
          <w:szCs w:val="20"/>
        </w:rPr>
        <w:t>: Mega</w:t>
      </w:r>
      <w:r>
        <w:rPr>
          <w:rFonts w:ascii="Century Gothic" w:hAnsi="Century Gothic"/>
          <w:sz w:val="20"/>
          <w:szCs w:val="20"/>
        </w:rPr>
        <w:t>w</w:t>
      </w:r>
      <w:r w:rsidRPr="00A04EFD">
        <w:rPr>
          <w:rFonts w:ascii="Century Gothic" w:hAnsi="Century Gothic"/>
          <w:sz w:val="20"/>
          <w:szCs w:val="20"/>
        </w:rPr>
        <w:t>att</w:t>
      </w:r>
      <w:r>
        <w:rPr>
          <w:rFonts w:ascii="Century Gothic" w:hAnsi="Century Gothic"/>
          <w:sz w:val="20"/>
          <w:szCs w:val="20"/>
        </w:rPr>
        <w:t xml:space="preserve"> </w:t>
      </w:r>
      <w:r w:rsidRPr="00A04EFD">
        <w:rPr>
          <w:rFonts w:ascii="Century Gothic" w:hAnsi="Century Gothic"/>
          <w:sz w:val="20"/>
          <w:szCs w:val="20"/>
        </w:rPr>
        <w:t>ora</w:t>
      </w:r>
    </w:p>
    <w:p w:rsidR="00CB3C50" w:rsidRPr="00A04EFD" w:rsidRDefault="00CB3C50" w:rsidP="00CB3C50">
      <w:pPr>
        <w:pStyle w:val="ListParagraph"/>
        <w:numPr>
          <w:ilvl w:val="0"/>
          <w:numId w:val="5"/>
        </w:numPr>
        <w:tabs>
          <w:tab w:val="left" w:pos="-169"/>
          <w:tab w:val="left" w:pos="0"/>
        </w:tabs>
        <w:suppressAutoHyphens/>
        <w:spacing w:line="276" w:lineRule="auto"/>
        <w:rPr>
          <w:rFonts w:ascii="Century Gothic" w:hAnsi="Century Gothic"/>
          <w:sz w:val="20"/>
          <w:szCs w:val="20"/>
        </w:rPr>
      </w:pPr>
      <w:r w:rsidRPr="00A04EFD">
        <w:rPr>
          <w:rFonts w:ascii="Century Gothic" w:hAnsi="Century Gothic"/>
          <w:b/>
          <w:sz w:val="20"/>
          <w:szCs w:val="20"/>
        </w:rPr>
        <w:t>smc</w:t>
      </w:r>
      <w:r w:rsidRPr="00A04EFD">
        <w:rPr>
          <w:rFonts w:ascii="Century Gothic" w:hAnsi="Century Gothic"/>
          <w:sz w:val="20"/>
          <w:szCs w:val="20"/>
        </w:rPr>
        <w:t>: Standard Metro Cubo</w:t>
      </w:r>
    </w:p>
    <w:p w:rsidR="00CB3C50" w:rsidRPr="00CB3C50" w:rsidRDefault="00CB3C50" w:rsidP="00CB3C50">
      <w:pPr>
        <w:pStyle w:val="ListParagraph"/>
        <w:numPr>
          <w:ilvl w:val="0"/>
          <w:numId w:val="5"/>
        </w:numPr>
        <w:tabs>
          <w:tab w:val="left" w:pos="-169"/>
          <w:tab w:val="left" w:pos="0"/>
        </w:tabs>
        <w:suppressAutoHyphens/>
        <w:spacing w:line="276" w:lineRule="auto"/>
        <w:rPr>
          <w:rFonts w:ascii="Century Gothic" w:hAnsi="Century Gothic"/>
          <w:sz w:val="20"/>
          <w:szCs w:val="20"/>
        </w:rPr>
      </w:pPr>
      <w:r w:rsidRPr="00A04EFD">
        <w:rPr>
          <w:rFonts w:ascii="Century Gothic" w:hAnsi="Century Gothic"/>
          <w:b/>
          <w:sz w:val="20"/>
          <w:szCs w:val="20"/>
        </w:rPr>
        <w:t>MJ</w:t>
      </w:r>
      <w:r w:rsidRPr="00A04EFD">
        <w:rPr>
          <w:rFonts w:ascii="Century Gothic" w:hAnsi="Century Gothic"/>
          <w:sz w:val="20"/>
          <w:szCs w:val="20"/>
        </w:rPr>
        <w:t>: Mega Joule</w:t>
      </w:r>
    </w:p>
    <w:p w:rsidR="00E36C3F" w:rsidRDefault="00E36C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B0A1B" w:rsidRDefault="002376A7" w:rsidP="004B0A1B">
      <w:pPr>
        <w:pStyle w:val="Heading1"/>
      </w:pPr>
      <w:r>
        <w:lastRenderedPageBreak/>
        <w:t>Descrizione processo</w:t>
      </w:r>
    </w:p>
    <w:p w:rsidR="004B0A1B" w:rsidRDefault="004B0A1B" w:rsidP="004B0A1B">
      <w:pPr>
        <w:pStyle w:val="Heading2"/>
      </w:pPr>
      <w:r w:rsidRPr="00A04EFD">
        <w:t>Acquisizione dei file delle allocazioni definitive dal portale SNAM</w:t>
      </w:r>
    </w:p>
    <w:p w:rsidR="004B0A1B" w:rsidRDefault="004B0A1B" w:rsidP="004B0A1B">
      <w:r w:rsidRPr="004B0A1B">
        <w:t>Una prima versione dei file contenenti le allocazioni, con riferimento al mese M, è pubblic</w:t>
      </w:r>
      <w:r>
        <w:t>ata da SNAM il 28 del mese M+1.</w:t>
      </w:r>
    </w:p>
    <w:p w:rsidR="004B0A1B" w:rsidRDefault="004B0A1B" w:rsidP="004B0A1B">
      <w:r w:rsidRPr="004B0A1B">
        <w:t>A distanza di 4/5 giorni lavorativi (ovvero nei primi giorni</w:t>
      </w:r>
      <w:r w:rsidR="007331DA">
        <w:t xml:space="preserve"> del mese M+2) SNAM pubblica un’</w:t>
      </w:r>
      <w:r w:rsidRPr="004B0A1B">
        <w:t>ulteriore versione dei suddetti file che possono contenere correzioni o aggiustamenti ris</w:t>
      </w:r>
      <w:r>
        <w:t>petto alla versione precedente.</w:t>
      </w:r>
      <w:r>
        <w:br/>
      </w:r>
      <w:r w:rsidRPr="004B0A1B">
        <w:t>Nel caso di differenze tra la prima e la seconda versione le eventuali variazioni sono utilizzate per procedere alla generazione di misure di conguaglio anch’esse utilizzate ai fini della fatturazione attiva.</w:t>
      </w:r>
    </w:p>
    <w:p w:rsidR="004B0A1B" w:rsidRPr="004B0A1B" w:rsidRDefault="004B0A1B" w:rsidP="00CB3C50">
      <w:pPr>
        <w:pStyle w:val="NoSpacing"/>
      </w:pPr>
      <w:r w:rsidRPr="004B0A1B">
        <w:t>Vi sono due tipi di file che vengono scaricati:</w:t>
      </w:r>
    </w:p>
    <w:p w:rsidR="004B0A1B" w:rsidRPr="004B0A1B" w:rsidRDefault="004B0A1B" w:rsidP="00CB3C50">
      <w:pPr>
        <w:pStyle w:val="NoSpacing"/>
        <w:numPr>
          <w:ilvl w:val="0"/>
          <w:numId w:val="6"/>
        </w:numPr>
      </w:pPr>
      <w:r w:rsidRPr="004B0A1B">
        <w:t xml:space="preserve">Dati di allocato con dettaglio </w:t>
      </w:r>
      <w:r w:rsidRPr="004B0A1B">
        <w:rPr>
          <w:b/>
        </w:rPr>
        <w:t>cliente</w:t>
      </w:r>
      <w:r w:rsidRPr="004B0A1B">
        <w:t xml:space="preserve"> per area di prelievo</w:t>
      </w:r>
    </w:p>
    <w:p w:rsidR="004B0A1B" w:rsidRPr="004B0A1B" w:rsidRDefault="00CB3C50" w:rsidP="00CB3C50">
      <w:pPr>
        <w:pStyle w:val="NoSpacing"/>
        <w:numPr>
          <w:ilvl w:val="1"/>
          <w:numId w:val="6"/>
        </w:numPr>
      </w:pPr>
      <w:r>
        <w:t>V</w:t>
      </w:r>
      <w:r w:rsidR="004B0A1B" w:rsidRPr="004B0A1B">
        <w:t>olumi giornalieri per il mese di riferimento espressi in smc per REMI e per singolo UdD.</w:t>
      </w:r>
    </w:p>
    <w:p w:rsidR="004B0A1B" w:rsidRPr="004B0A1B" w:rsidRDefault="00965BEE" w:rsidP="00CB3C50">
      <w:pPr>
        <w:pStyle w:val="NoSpacing"/>
        <w:numPr>
          <w:ilvl w:val="1"/>
          <w:numId w:val="6"/>
        </w:numPr>
      </w:pPr>
      <w:r>
        <w:t>D</w:t>
      </w:r>
      <w:r w:rsidR="004B0A1B">
        <w:t>ati relativi a:</w:t>
      </w:r>
    </w:p>
    <w:p w:rsidR="004B0A1B" w:rsidRPr="004B0A1B" w:rsidRDefault="00CB3C50" w:rsidP="00CB3C50">
      <w:pPr>
        <w:pStyle w:val="NoSpacing"/>
        <w:numPr>
          <w:ilvl w:val="2"/>
          <w:numId w:val="6"/>
        </w:numPr>
      </w:pPr>
      <w:r>
        <w:rPr>
          <w:u w:val="single"/>
        </w:rPr>
        <w:t>F</w:t>
      </w:r>
      <w:r w:rsidR="004B0A1B" w:rsidRPr="004B0A1B">
        <w:rPr>
          <w:u w:val="single"/>
        </w:rPr>
        <w:t>iliera diretta</w:t>
      </w:r>
      <w:r>
        <w:t xml:space="preserve"> (</w:t>
      </w:r>
      <w:r w:rsidR="004B0A1B" w:rsidRPr="004B0A1B">
        <w:t>UdB forn</w:t>
      </w:r>
      <w:r>
        <w:t>isce il sottostante UdD al 100%)</w:t>
      </w:r>
      <w:r w:rsidR="00965BEE">
        <w:t>:</w:t>
      </w:r>
    </w:p>
    <w:p w:rsidR="004B0A1B" w:rsidRPr="004B0A1B" w:rsidRDefault="00CB3C50" w:rsidP="00CB3C50">
      <w:pPr>
        <w:pStyle w:val="NoSpacing"/>
        <w:numPr>
          <w:ilvl w:val="3"/>
          <w:numId w:val="6"/>
        </w:numPr>
      </w:pPr>
      <w:r>
        <w:t>D</w:t>
      </w:r>
      <w:r w:rsidR="004B0A1B" w:rsidRPr="004B0A1B">
        <w:t xml:space="preserve">ati comunicati dalla distribuzione </w:t>
      </w:r>
    </w:p>
    <w:p w:rsidR="004B0A1B" w:rsidRPr="004B0A1B" w:rsidRDefault="00CB3C50" w:rsidP="00CB3C50">
      <w:pPr>
        <w:pStyle w:val="NoSpacing"/>
        <w:numPr>
          <w:ilvl w:val="3"/>
          <w:numId w:val="6"/>
        </w:numPr>
      </w:pPr>
      <w:r>
        <w:t>D</w:t>
      </w:r>
      <w:r w:rsidR="004B0A1B" w:rsidRPr="004B0A1B">
        <w:t>ati non comunicati dalla distribuzione (stime di SNAM)</w:t>
      </w:r>
    </w:p>
    <w:p w:rsidR="004B0A1B" w:rsidRPr="004B0A1B" w:rsidRDefault="00CB3C50" w:rsidP="00CB3C50">
      <w:pPr>
        <w:pStyle w:val="NoSpacing"/>
        <w:numPr>
          <w:ilvl w:val="2"/>
          <w:numId w:val="6"/>
        </w:numPr>
      </w:pPr>
      <w:r>
        <w:rPr>
          <w:u w:val="single"/>
        </w:rPr>
        <w:t>F</w:t>
      </w:r>
      <w:r w:rsidR="004B0A1B" w:rsidRPr="004B0A1B">
        <w:rPr>
          <w:u w:val="single"/>
        </w:rPr>
        <w:t>iliera</w:t>
      </w:r>
      <w:r w:rsidR="004B0A1B" w:rsidRPr="004B0A1B">
        <w:rPr>
          <w:b/>
          <w:u w:val="single"/>
        </w:rPr>
        <w:t xml:space="preserve"> </w:t>
      </w:r>
      <w:r w:rsidR="004B0A1B" w:rsidRPr="004B0A1B">
        <w:rPr>
          <w:u w:val="single"/>
        </w:rPr>
        <w:t>indiretta</w:t>
      </w:r>
      <w:r>
        <w:t xml:space="preserve"> (</w:t>
      </w:r>
      <w:r w:rsidR="004B0A1B" w:rsidRPr="004B0A1B">
        <w:t>UdB fornisce il sotto</w:t>
      </w:r>
      <w:r>
        <w:t>stante UdD solo per una quota %)</w:t>
      </w:r>
      <w:r w:rsidR="00965BEE">
        <w:t>:</w:t>
      </w:r>
    </w:p>
    <w:p w:rsidR="004B0A1B" w:rsidRPr="004B0A1B" w:rsidRDefault="00CB3C50" w:rsidP="00CB3C50">
      <w:pPr>
        <w:pStyle w:val="NoSpacing"/>
        <w:numPr>
          <w:ilvl w:val="3"/>
          <w:numId w:val="6"/>
        </w:numPr>
      </w:pPr>
      <w:r>
        <w:t>D</w:t>
      </w:r>
      <w:r w:rsidR="004B0A1B" w:rsidRPr="004B0A1B">
        <w:t>ati</w:t>
      </w:r>
      <w:r w:rsidR="007331DA">
        <w:t xml:space="preserve"> comunicati dalla distribuzione</w:t>
      </w:r>
    </w:p>
    <w:p w:rsidR="004B0A1B" w:rsidRPr="004B0A1B" w:rsidRDefault="00CB3C50" w:rsidP="00CB3C50">
      <w:pPr>
        <w:pStyle w:val="NoSpacing"/>
        <w:numPr>
          <w:ilvl w:val="3"/>
          <w:numId w:val="6"/>
        </w:numPr>
      </w:pPr>
      <w:r>
        <w:t>D</w:t>
      </w:r>
      <w:r w:rsidR="004B0A1B" w:rsidRPr="004B0A1B">
        <w:t>ati non comunicati dalla distribuzione (stime di SNAM)</w:t>
      </w:r>
    </w:p>
    <w:p w:rsidR="00CB3C50" w:rsidRDefault="004B0A1B" w:rsidP="00CB3C50">
      <w:pPr>
        <w:pStyle w:val="NoSpacing"/>
        <w:numPr>
          <w:ilvl w:val="0"/>
          <w:numId w:val="6"/>
        </w:numPr>
      </w:pPr>
      <w:r w:rsidRPr="004B0A1B">
        <w:t xml:space="preserve">Dati di allocato con dettaglio </w:t>
      </w:r>
      <w:r w:rsidRPr="004B0A1B">
        <w:rPr>
          <w:b/>
        </w:rPr>
        <w:t>utente</w:t>
      </w:r>
      <w:r w:rsidRPr="004B0A1B">
        <w:t xml:space="preserve"> per area prelievo e REMI</w:t>
      </w:r>
    </w:p>
    <w:p w:rsidR="00CB3C50" w:rsidRDefault="00CB3C50" w:rsidP="00CB3C50">
      <w:pPr>
        <w:pStyle w:val="NoSpacing"/>
        <w:numPr>
          <w:ilvl w:val="1"/>
          <w:numId w:val="6"/>
        </w:numPr>
      </w:pPr>
      <w:r>
        <w:t>V</w:t>
      </w:r>
      <w:r w:rsidR="004B0A1B" w:rsidRPr="004B0A1B">
        <w:t>olumi giornalieri per mese di riferimento espressi in smc</w:t>
      </w:r>
    </w:p>
    <w:p w:rsidR="002376A7" w:rsidRDefault="00CB3C50" w:rsidP="002376A7">
      <w:pPr>
        <w:pStyle w:val="NoSpacing"/>
        <w:numPr>
          <w:ilvl w:val="1"/>
          <w:numId w:val="6"/>
        </w:numPr>
      </w:pPr>
      <w:r>
        <w:t>R</w:t>
      </w:r>
      <w:r w:rsidR="004B0A1B" w:rsidRPr="004B0A1B">
        <w:t>elativi PCS giornalieri espressi in MWh/smc.</w:t>
      </w:r>
    </w:p>
    <w:p w:rsidR="002376A7" w:rsidRDefault="002376A7" w:rsidP="002376A7">
      <w:pPr>
        <w:pStyle w:val="NoSpacing"/>
      </w:pPr>
    </w:p>
    <w:p w:rsidR="002376A7" w:rsidRDefault="002376A7" w:rsidP="002376A7">
      <w:r>
        <w:t xml:space="preserve">È </w:t>
      </w:r>
      <w:r w:rsidRPr="00726A27">
        <w:t>necessario scaricare da SNAM i seguenti</w:t>
      </w:r>
      <w:r>
        <w:t xml:space="preserve"> dati.</w:t>
      </w:r>
    </w:p>
    <w:p w:rsidR="002376A7" w:rsidRDefault="002376A7" w:rsidP="002376A7">
      <w:r w:rsidRPr="009928AC">
        <w:rPr>
          <w:noProof/>
          <w:lang w:eastAsia="it-IT"/>
        </w:rPr>
        <w:drawing>
          <wp:inline distT="0" distB="0" distL="0" distR="0" wp14:anchorId="48649EE0" wp14:editId="572FE2AC">
            <wp:extent cx="5732145" cy="20072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A1B" w:rsidRPr="004B0A1B" w:rsidRDefault="004B0A1B" w:rsidP="004B0A1B"/>
    <w:p w:rsidR="004B0A1B" w:rsidRDefault="004B0A1B" w:rsidP="004B0A1B">
      <w:pPr>
        <w:pStyle w:val="Heading2"/>
      </w:pPr>
      <w:r w:rsidRPr="00A04EFD">
        <w:t xml:space="preserve">Aggregazione e controllo </w:t>
      </w:r>
      <w:r w:rsidR="00E36C3F">
        <w:t>delle misure acquisite da SNAM</w:t>
      </w:r>
    </w:p>
    <w:p w:rsidR="00E36C3F" w:rsidRDefault="00E36C3F" w:rsidP="00E36C3F">
      <w:r>
        <w:t>I</w:t>
      </w:r>
      <w:r w:rsidRPr="00E36C3F">
        <w:t xml:space="preserve"> dati </w:t>
      </w:r>
      <w:r>
        <w:t>a dettaglio cliente sono aggregati a livello di REMI e confrontati con quelli a dettaglio utente, in modo da rilevare eventuali inconsistenze.</w:t>
      </w:r>
    </w:p>
    <w:p w:rsidR="002376A7" w:rsidRDefault="00E36C3F" w:rsidP="00E36C3F">
      <w:r>
        <w:t>In caso di errori si provvede a ricaricare i file mancanti da parte degli utenti.</w:t>
      </w:r>
    </w:p>
    <w:p w:rsidR="002376A7" w:rsidRDefault="002376A7" w:rsidP="00BA1122">
      <w:pPr>
        <w:pStyle w:val="Heading3"/>
      </w:pPr>
      <w:r>
        <w:t>Validazione dati</w:t>
      </w:r>
    </w:p>
    <w:p w:rsidR="002376A7" w:rsidRPr="00BB1CE0" w:rsidRDefault="002376A7" w:rsidP="002376A7">
      <w:r>
        <w:t>È necessario eseguire i seguenti controlli sui dati scaricati.</w:t>
      </w:r>
    </w:p>
    <w:p w:rsidR="002376A7" w:rsidRPr="00CC63C1" w:rsidRDefault="002376A7" w:rsidP="002376A7">
      <w:pPr>
        <w:pStyle w:val="NoSpacing"/>
        <w:numPr>
          <w:ilvl w:val="0"/>
          <w:numId w:val="11"/>
        </w:numPr>
      </w:pPr>
      <w:r w:rsidRPr="00CC63C1">
        <w:lastRenderedPageBreak/>
        <w:t>Mancanza mappatura tra REMI – Controparte e ID Sede</w:t>
      </w:r>
    </w:p>
    <w:p w:rsidR="002376A7" w:rsidRPr="00CC63C1" w:rsidRDefault="002376A7" w:rsidP="002376A7">
      <w:pPr>
        <w:pStyle w:val="NoSpacing"/>
        <w:numPr>
          <w:ilvl w:val="0"/>
          <w:numId w:val="11"/>
        </w:numPr>
      </w:pPr>
      <w:r w:rsidRPr="00CC63C1">
        <w:t xml:space="preserve">Mancanza mappatura tra REMI – Utente di Distribuzione - Grossista </w:t>
      </w:r>
    </w:p>
    <w:p w:rsidR="002376A7" w:rsidRPr="00CC63C1" w:rsidRDefault="002376A7" w:rsidP="002376A7">
      <w:pPr>
        <w:pStyle w:val="NoSpacing"/>
        <w:numPr>
          <w:ilvl w:val="0"/>
          <w:numId w:val="11"/>
        </w:numPr>
      </w:pPr>
      <w:r w:rsidRPr="00CC63C1">
        <w:t>Mancanza di uno tra file Dettaglio Utente o Dettaglio Cliente</w:t>
      </w:r>
    </w:p>
    <w:p w:rsidR="002376A7" w:rsidRPr="00CC63C1" w:rsidRDefault="002376A7" w:rsidP="002376A7">
      <w:pPr>
        <w:pStyle w:val="NoSpacing"/>
        <w:numPr>
          <w:ilvl w:val="0"/>
          <w:numId w:val="11"/>
        </w:numPr>
      </w:pPr>
      <w:r w:rsidRPr="00CC63C1">
        <w:t>Discrepanze tra file Dettaglio Utente e file Dettaglio Cliente</w:t>
      </w:r>
    </w:p>
    <w:p w:rsidR="002376A7" w:rsidRPr="00CC63C1" w:rsidRDefault="002376A7" w:rsidP="002376A7">
      <w:pPr>
        <w:pStyle w:val="NoSpacing"/>
        <w:numPr>
          <w:ilvl w:val="0"/>
          <w:numId w:val="11"/>
        </w:numPr>
      </w:pPr>
      <w:r w:rsidRPr="00CC63C1">
        <w:t>Mancanza di uno o più dati nelle colonne Vx e PCSx</w:t>
      </w:r>
    </w:p>
    <w:p w:rsidR="002376A7" w:rsidRPr="00CC63C1" w:rsidRDefault="002376A7" w:rsidP="002376A7">
      <w:pPr>
        <w:pStyle w:val="NoSpacing"/>
        <w:numPr>
          <w:ilvl w:val="0"/>
          <w:numId w:val="11"/>
        </w:numPr>
      </w:pPr>
      <w:r w:rsidRPr="00CC63C1">
        <w:t>Invio Aggiustamento senza aver inviato Sessione Ordinaria / Conguagli</w:t>
      </w:r>
    </w:p>
    <w:p w:rsidR="002376A7" w:rsidRDefault="002376A7" w:rsidP="002376A7"/>
    <w:p w:rsidR="002376A7" w:rsidRDefault="002376A7" w:rsidP="002376A7">
      <w:r>
        <w:t>In caso di errori, non sarà possibile procedere alle fasi successive.</w:t>
      </w:r>
    </w:p>
    <w:p w:rsidR="00BA1122" w:rsidRPr="002376A7" w:rsidRDefault="00BA1122" w:rsidP="00BA1122">
      <w:pPr>
        <w:pStyle w:val="Heading3"/>
      </w:pPr>
      <w:r w:rsidRPr="002376A7">
        <w:t xml:space="preserve">Predisposizione dei file di </w:t>
      </w:r>
      <w:r w:rsidRPr="00BA1122">
        <w:t>caricamento</w:t>
      </w:r>
      <w:r w:rsidRPr="002376A7">
        <w:t xml:space="preserve"> misure gas per il sistema di fatturazione</w:t>
      </w:r>
    </w:p>
    <w:p w:rsidR="00BA1122" w:rsidRPr="002376A7" w:rsidRDefault="00BA1122" w:rsidP="00BA1122">
      <w:r w:rsidRPr="002376A7">
        <w:t>Si utilizzano le seguenti informazioni accessorie:</w:t>
      </w:r>
    </w:p>
    <w:p w:rsidR="00BA1122" w:rsidRPr="002376A7" w:rsidRDefault="00BA1122" w:rsidP="00BA1122">
      <w:pPr>
        <w:pStyle w:val="NoSpacing"/>
        <w:numPr>
          <w:ilvl w:val="0"/>
          <w:numId w:val="8"/>
        </w:numPr>
      </w:pPr>
      <w:r w:rsidRPr="002376A7">
        <w:t>Mappatura tra Grossista, REMI e IdSede</w:t>
      </w:r>
    </w:p>
    <w:p w:rsidR="00BA1122" w:rsidRPr="002376A7" w:rsidRDefault="00BA1122" w:rsidP="00BA1122">
      <w:pPr>
        <w:pStyle w:val="NoSpacing"/>
        <w:numPr>
          <w:ilvl w:val="1"/>
          <w:numId w:val="8"/>
        </w:numPr>
      </w:pPr>
      <w:r w:rsidRPr="002376A7">
        <w:t>Proveniente dal sistema di fatturazione, e aggiornato con periodicità mensile</w:t>
      </w:r>
    </w:p>
    <w:p w:rsidR="00BA1122" w:rsidRPr="002376A7" w:rsidRDefault="00BA1122" w:rsidP="00BA1122">
      <w:pPr>
        <w:pStyle w:val="NoSpacing"/>
        <w:numPr>
          <w:ilvl w:val="0"/>
          <w:numId w:val="8"/>
        </w:numPr>
      </w:pPr>
      <w:r w:rsidRPr="002376A7">
        <w:t>Mappatura tra Grossista, REMI e sottostanti UdD serviti</w:t>
      </w:r>
    </w:p>
    <w:p w:rsidR="00BA1122" w:rsidRPr="002376A7" w:rsidRDefault="00BA1122" w:rsidP="00BA1122">
      <w:pPr>
        <w:pStyle w:val="NoSpacing"/>
        <w:numPr>
          <w:ilvl w:val="1"/>
          <w:numId w:val="8"/>
        </w:numPr>
      </w:pPr>
      <w:r w:rsidRPr="002376A7">
        <w:t>Conservata all’interno di un file utilizzato per la gestione dei conferimenti di capacità.</w:t>
      </w:r>
    </w:p>
    <w:p w:rsidR="00BA1122" w:rsidRPr="002376A7" w:rsidRDefault="00BA1122" w:rsidP="00BA1122">
      <w:pPr>
        <w:pStyle w:val="NoSpacing"/>
      </w:pPr>
    </w:p>
    <w:p w:rsidR="00BA1122" w:rsidRPr="002376A7" w:rsidRDefault="00BA1122" w:rsidP="00BA1122">
      <w:pPr>
        <w:pStyle w:val="NoSpacing"/>
      </w:pPr>
      <w:r w:rsidRPr="002376A7">
        <w:t>I dati subiscono il seguente processo:</w:t>
      </w:r>
    </w:p>
    <w:p w:rsidR="00BA1122" w:rsidRPr="002376A7" w:rsidRDefault="00BA1122" w:rsidP="00BA1122">
      <w:pPr>
        <w:pStyle w:val="NoSpacing"/>
        <w:numPr>
          <w:ilvl w:val="0"/>
          <w:numId w:val="9"/>
        </w:numPr>
      </w:pPr>
      <w:r w:rsidRPr="002376A7">
        <w:t>Si aggregano le informazioni con dettaglio cliente a livello REMI/UdD</w:t>
      </w:r>
    </w:p>
    <w:p w:rsidR="00BA1122" w:rsidRPr="002376A7" w:rsidRDefault="00BA1122" w:rsidP="00BA1122">
      <w:pPr>
        <w:pStyle w:val="NoSpacing"/>
        <w:numPr>
          <w:ilvl w:val="0"/>
          <w:numId w:val="9"/>
        </w:numPr>
      </w:pPr>
      <w:r w:rsidRPr="002376A7">
        <w:t xml:space="preserve">Si completano tali informazioni con i dati di PCS ricavati dalle allocazioni con dettaglio utente </w:t>
      </w:r>
    </w:p>
    <w:p w:rsidR="00BA1122" w:rsidRPr="002376A7" w:rsidRDefault="00BA1122" w:rsidP="00BA1122">
      <w:pPr>
        <w:pStyle w:val="NoSpacing"/>
        <w:numPr>
          <w:ilvl w:val="1"/>
          <w:numId w:val="9"/>
        </w:numPr>
      </w:pPr>
      <w:r w:rsidRPr="002376A7">
        <w:t>I valori sono convertiti in MJ/smc</w:t>
      </w:r>
    </w:p>
    <w:p w:rsidR="00BA1122" w:rsidRPr="002376A7" w:rsidRDefault="00BA1122" w:rsidP="00BA1122">
      <w:pPr>
        <w:pStyle w:val="NoSpacing"/>
        <w:numPr>
          <w:ilvl w:val="2"/>
          <w:numId w:val="9"/>
        </w:numPr>
      </w:pPr>
      <w:r w:rsidRPr="002376A7">
        <w:t>La conversione avviene  attraverso un coefficiente pari a 3,603604</w:t>
      </w:r>
    </w:p>
    <w:p w:rsidR="00BA1122" w:rsidRPr="002376A7" w:rsidRDefault="00BA1122" w:rsidP="00BA1122">
      <w:pPr>
        <w:pStyle w:val="NoSpacing"/>
        <w:numPr>
          <w:ilvl w:val="0"/>
          <w:numId w:val="9"/>
        </w:numPr>
      </w:pPr>
      <w:r w:rsidRPr="002376A7">
        <w:t>I dati vengono ricondotti alla IdSede corrispondente nel sistema di fatturazione utilizzando le mappature sopra descritte</w:t>
      </w:r>
    </w:p>
    <w:p w:rsidR="00BA1122" w:rsidRDefault="00BA1122" w:rsidP="00BA1122">
      <w:pPr>
        <w:pStyle w:val="NoSpacing"/>
        <w:numPr>
          <w:ilvl w:val="0"/>
          <w:numId w:val="9"/>
        </w:numPr>
      </w:pPr>
      <w:r w:rsidRPr="002376A7">
        <w:t>I dati sono salvati in un file con un formato definito</w:t>
      </w:r>
    </w:p>
    <w:p w:rsidR="00111157" w:rsidRDefault="00111157" w:rsidP="00BA1122">
      <w:pPr>
        <w:pStyle w:val="Heading3"/>
      </w:pPr>
      <w:r>
        <w:t>Aggregazione dati</w:t>
      </w:r>
    </w:p>
    <w:p w:rsidR="00111157" w:rsidRDefault="00111157" w:rsidP="00111157">
      <w:r>
        <w:t>I dati saranno aggregati nel seguente modo.</w:t>
      </w:r>
    </w:p>
    <w:p w:rsidR="00111157" w:rsidRPr="00540CC2" w:rsidRDefault="00111157" w:rsidP="00111157">
      <w:pPr>
        <w:pStyle w:val="NoSpacing"/>
        <w:numPr>
          <w:ilvl w:val="0"/>
          <w:numId w:val="12"/>
        </w:numPr>
      </w:pPr>
      <w:r w:rsidRPr="00540CC2">
        <w:t>Aggregazione per REMI opp</w:t>
      </w:r>
      <w:r>
        <w:t xml:space="preserve">ortunamente mappato </w:t>
      </w:r>
    </w:p>
    <w:p w:rsidR="00111157" w:rsidRDefault="00111157" w:rsidP="00111157">
      <w:pPr>
        <w:pStyle w:val="NoSpacing"/>
        <w:numPr>
          <w:ilvl w:val="0"/>
          <w:numId w:val="12"/>
        </w:numPr>
      </w:pPr>
      <w:r w:rsidRPr="00540CC2">
        <w:t>Somma volumi SM3 sul giorno file Dettaglio</w:t>
      </w:r>
      <w:r>
        <w:t xml:space="preserve"> Cliente per ogni ID Misuratore</w:t>
      </w:r>
    </w:p>
    <w:p w:rsidR="00111157" w:rsidRPr="00540CC2" w:rsidRDefault="00111157" w:rsidP="00111157">
      <w:pPr>
        <w:pStyle w:val="NoSpacing"/>
        <w:numPr>
          <w:ilvl w:val="1"/>
          <w:numId w:val="12"/>
        </w:numPr>
      </w:pPr>
      <w:r>
        <w:t>Colonne V1 – V31</w:t>
      </w:r>
    </w:p>
    <w:p w:rsidR="00111157" w:rsidRDefault="00111157" w:rsidP="00111157">
      <w:pPr>
        <w:pStyle w:val="NoSpacing"/>
        <w:numPr>
          <w:ilvl w:val="0"/>
          <w:numId w:val="12"/>
        </w:numPr>
      </w:pPr>
      <w:r w:rsidRPr="00540CC2">
        <w:t>PCS sul giorno file Dettaglio U</w:t>
      </w:r>
      <w:r>
        <w:t>tente</w:t>
      </w:r>
    </w:p>
    <w:p w:rsidR="00111157" w:rsidRPr="00540CC2" w:rsidRDefault="00111157" w:rsidP="00111157">
      <w:pPr>
        <w:pStyle w:val="NoSpacing"/>
        <w:numPr>
          <w:ilvl w:val="1"/>
          <w:numId w:val="12"/>
        </w:numPr>
      </w:pPr>
      <w:r>
        <w:t>Colonne PCS1 – PCS31</w:t>
      </w:r>
    </w:p>
    <w:p w:rsidR="00111157" w:rsidRDefault="00111157" w:rsidP="00111157">
      <w:pPr>
        <w:pStyle w:val="NoSpacing"/>
        <w:numPr>
          <w:ilvl w:val="0"/>
          <w:numId w:val="12"/>
        </w:numPr>
      </w:pPr>
      <w:r w:rsidRPr="00540CC2">
        <w:t>Ignorare tutte le righe per cui UdD è Axpo Italia.</w:t>
      </w:r>
    </w:p>
    <w:p w:rsidR="00111157" w:rsidRDefault="00111157" w:rsidP="00111157"/>
    <w:p w:rsidR="00111157" w:rsidRDefault="00111157" w:rsidP="00111157">
      <w:r>
        <w:t>Il sistema effettuerà i seguenti controlli.</w:t>
      </w:r>
    </w:p>
    <w:p w:rsidR="00111157" w:rsidRPr="00540CC2" w:rsidRDefault="00111157" w:rsidP="00111157">
      <w:pPr>
        <w:pStyle w:val="NoSpacing"/>
        <w:numPr>
          <w:ilvl w:val="0"/>
          <w:numId w:val="13"/>
        </w:numPr>
      </w:pPr>
      <w:r w:rsidRPr="00540CC2">
        <w:t>Se il dato è di Conguaglio verificherà che non sia già stata inviato un dato per la sessi</w:t>
      </w:r>
      <w:r>
        <w:t xml:space="preserve">one ordinaria di valore uguale. </w:t>
      </w:r>
      <w:r w:rsidRPr="00540CC2">
        <w:t>In questo caso, il dato di conguaglio verrà ignorato automaticamente dal sistema.</w:t>
      </w:r>
    </w:p>
    <w:p w:rsidR="00111157" w:rsidRPr="00540CC2" w:rsidRDefault="00111157" w:rsidP="00111157">
      <w:pPr>
        <w:pStyle w:val="NoSpacing"/>
        <w:numPr>
          <w:ilvl w:val="0"/>
          <w:numId w:val="13"/>
        </w:numPr>
      </w:pPr>
      <w:r w:rsidRPr="00540CC2">
        <w:t>Se il dato è di Conguaglio ed è già stato scaricato un dato di conguaglio valido per quel Remi-Controparte-Mese, ma non ancora inviato al sistema di fatturazione. In questo caso il middleware sovrascriverà il dato vecchio con il nuovo.</w:t>
      </w:r>
    </w:p>
    <w:p w:rsidR="00111157" w:rsidRPr="00540CC2" w:rsidRDefault="00111157" w:rsidP="00111157">
      <w:pPr>
        <w:pStyle w:val="NoSpacing"/>
        <w:numPr>
          <w:ilvl w:val="0"/>
          <w:numId w:val="13"/>
        </w:numPr>
      </w:pPr>
      <w:r w:rsidRPr="00540CC2">
        <w:t>Se il dato è di conguaglio ed è già stato inviato un dato di conguaglio valido per quel Remi-Controparte-Mese. Il sistema proporrà il reinvio del dato di Conguaglio nuovo.</w:t>
      </w:r>
    </w:p>
    <w:p w:rsidR="00111157" w:rsidRPr="00540CC2" w:rsidRDefault="00111157" w:rsidP="00111157">
      <w:pPr>
        <w:pStyle w:val="NoSpacing"/>
        <w:numPr>
          <w:ilvl w:val="0"/>
          <w:numId w:val="13"/>
        </w:numPr>
      </w:pPr>
      <w:r w:rsidRPr="00540CC2">
        <w:t>Flaggare come “non da inviare” una sessione Ordinaria di un REMI-Controparte se è stato già inviato il Conguaglio</w:t>
      </w:r>
    </w:p>
    <w:p w:rsidR="00111157" w:rsidRDefault="00111157" w:rsidP="002376A7"/>
    <w:p w:rsidR="00111157" w:rsidRDefault="00111157" w:rsidP="00111157">
      <w:pPr>
        <w:pStyle w:val="NoSpacing"/>
      </w:pPr>
    </w:p>
    <w:p w:rsidR="002376A7" w:rsidRPr="00006C2E" w:rsidRDefault="002376A7" w:rsidP="002376A7">
      <w:pPr>
        <w:pStyle w:val="Heading2"/>
      </w:pPr>
      <w:r>
        <w:lastRenderedPageBreak/>
        <w:t>Aggiustamento dati SNAM</w:t>
      </w:r>
    </w:p>
    <w:p w:rsidR="002376A7" w:rsidRDefault="002376A7" w:rsidP="002376A7">
      <w:r w:rsidRPr="00A04EFD">
        <w:t>Il processo sopra descritto è replicato con cadenza semestrale anche ai dati relativi alle sessioni di aggiustamento SNAM, con riferimenti ai volumi gas allocati, per l’anno precede</w:t>
      </w:r>
      <w:r>
        <w:t>n</w:t>
      </w:r>
      <w:r w:rsidRPr="00A04EFD">
        <w:t>te e per gli ulteriori 4 anni precedenti.</w:t>
      </w:r>
    </w:p>
    <w:p w:rsidR="00111157" w:rsidRDefault="002376A7" w:rsidP="002376A7">
      <w:r w:rsidRPr="00A04EFD">
        <w:t>Anche in questo caso vengono generati opportuni file di aggiustamento per la fatturazione e caricati a sistema con una opportuna tipizzazione.</w:t>
      </w:r>
    </w:p>
    <w:p w:rsidR="00111157" w:rsidRDefault="00111157" w:rsidP="00111157">
      <w:pPr>
        <w:pStyle w:val="Heading2"/>
      </w:pPr>
      <w:r>
        <w:t>Output dati</w:t>
      </w:r>
    </w:p>
    <w:p w:rsidR="00111157" w:rsidRPr="009A3C89" w:rsidRDefault="00111157" w:rsidP="00111157">
      <w:r>
        <w:t>Tramite l’interfaccia grafica sarà</w:t>
      </w:r>
      <w:r w:rsidRPr="009A3C89">
        <w:t xml:space="preserve"> possibile scaricare dei dati.</w:t>
      </w:r>
    </w:p>
    <w:p w:rsidR="00111157" w:rsidRPr="009A3C89" w:rsidRDefault="00111157" w:rsidP="00111157">
      <w:r w:rsidRPr="009A3C89">
        <w:t>Tale file sarà</w:t>
      </w:r>
      <w:r>
        <w:t xml:space="preserve"> formattato</w:t>
      </w:r>
      <w:r w:rsidRPr="009A3C89">
        <w:t xml:space="preserve"> conterrà:</w:t>
      </w:r>
    </w:p>
    <w:p w:rsidR="00111157" w:rsidRPr="009A3C89" w:rsidRDefault="00111157" w:rsidP="00111157">
      <w:pPr>
        <w:pStyle w:val="NoSpacing"/>
        <w:numPr>
          <w:ilvl w:val="0"/>
          <w:numId w:val="14"/>
        </w:numPr>
      </w:pPr>
      <w:r w:rsidRPr="009A3C89">
        <w:t>ID Sede</w:t>
      </w:r>
    </w:p>
    <w:p w:rsidR="00111157" w:rsidRPr="009A3C89" w:rsidRDefault="00111157" w:rsidP="00111157">
      <w:pPr>
        <w:pStyle w:val="NoSpacing"/>
        <w:numPr>
          <w:ilvl w:val="0"/>
          <w:numId w:val="14"/>
        </w:numPr>
      </w:pPr>
      <w:r w:rsidRPr="009A3C89">
        <w:t>Data Dal e Data al (colonne V1 – V31 dei file di input)</w:t>
      </w:r>
    </w:p>
    <w:p w:rsidR="00111157" w:rsidRPr="009A3C89" w:rsidRDefault="00111157" w:rsidP="00111157">
      <w:pPr>
        <w:pStyle w:val="NoSpacing"/>
        <w:numPr>
          <w:ilvl w:val="0"/>
          <w:numId w:val="14"/>
        </w:numPr>
      </w:pPr>
      <w:r w:rsidRPr="009A3C89">
        <w:t>Cg: NULL</w:t>
      </w:r>
    </w:p>
    <w:p w:rsidR="00111157" w:rsidRPr="009A3C89" w:rsidRDefault="00111157" w:rsidP="00111157">
      <w:pPr>
        <w:pStyle w:val="NoSpacing"/>
        <w:numPr>
          <w:ilvl w:val="0"/>
          <w:numId w:val="14"/>
        </w:numPr>
      </w:pPr>
      <w:r w:rsidRPr="009A3C89">
        <w:t>PCS (come da calcoli nel par. 7.4 valori PCS1-PCS31 nel file dettaglio Utente)</w:t>
      </w:r>
    </w:p>
    <w:p w:rsidR="00111157" w:rsidRPr="009A3C89" w:rsidRDefault="00111157" w:rsidP="00111157">
      <w:pPr>
        <w:pStyle w:val="NoSpacing"/>
        <w:numPr>
          <w:ilvl w:val="0"/>
          <w:numId w:val="14"/>
        </w:numPr>
      </w:pPr>
      <w:r w:rsidRPr="009A3C89">
        <w:t>Prelievi GJ (null)</w:t>
      </w:r>
    </w:p>
    <w:p w:rsidR="00111157" w:rsidRPr="009A3C89" w:rsidRDefault="00111157" w:rsidP="00111157">
      <w:pPr>
        <w:pStyle w:val="NoSpacing"/>
        <w:numPr>
          <w:ilvl w:val="0"/>
          <w:numId w:val="14"/>
        </w:numPr>
      </w:pPr>
      <w:r w:rsidRPr="009A3C89">
        <w:t>Prelievi SMc (come da calcoli nel par. 7.4 valori V1-V31 nel file dettaglio Utente)</w:t>
      </w:r>
    </w:p>
    <w:p w:rsidR="009A3C89" w:rsidRPr="009A3C89" w:rsidRDefault="009A3C89" w:rsidP="009A3C89">
      <w:bookmarkStart w:id="13" w:name="_GoBack"/>
      <w:bookmarkEnd w:id="13"/>
    </w:p>
    <w:sectPr w:rsidR="009A3C89" w:rsidRPr="009A3C8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1DA" w:rsidRDefault="007331DA" w:rsidP="007331DA">
      <w:pPr>
        <w:spacing w:after="0" w:line="240" w:lineRule="auto"/>
      </w:pPr>
      <w:r>
        <w:separator/>
      </w:r>
    </w:p>
  </w:endnote>
  <w:endnote w:type="continuationSeparator" w:id="0">
    <w:p w:rsidR="007331DA" w:rsidRDefault="007331DA" w:rsidP="0073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487101"/>
      <w:docPartObj>
        <w:docPartGallery w:val="Page Numbers (Bottom of Page)"/>
        <w:docPartUnique/>
      </w:docPartObj>
    </w:sdtPr>
    <w:sdtEndPr/>
    <w:sdtContent>
      <w:p w:rsidR="007331DA" w:rsidRDefault="007331D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9AC">
          <w:rPr>
            <w:noProof/>
          </w:rPr>
          <w:t>4</w:t>
        </w:r>
        <w:r>
          <w:fldChar w:fldCharType="end"/>
        </w:r>
      </w:p>
    </w:sdtContent>
  </w:sdt>
  <w:p w:rsidR="007331DA" w:rsidRDefault="007331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1DA" w:rsidRDefault="007331DA" w:rsidP="007331DA">
      <w:pPr>
        <w:spacing w:after="0" w:line="240" w:lineRule="auto"/>
      </w:pPr>
      <w:r>
        <w:separator/>
      </w:r>
    </w:p>
  </w:footnote>
  <w:footnote w:type="continuationSeparator" w:id="0">
    <w:p w:rsidR="007331DA" w:rsidRDefault="007331DA" w:rsidP="0073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1F1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E944D5"/>
    <w:multiLevelType w:val="multilevel"/>
    <w:tmpl w:val="6C06959A"/>
    <w:lvl w:ilvl="0">
      <w:start w:val="1"/>
      <w:numFmt w:val="decimal"/>
      <w:pStyle w:val="ArkHeading1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pStyle w:val="ArkHeading2"/>
      <w:lvlText w:val="%1.%2"/>
      <w:lvlJc w:val="left"/>
      <w:pPr>
        <w:ind w:left="291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rk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ED5F43"/>
    <w:multiLevelType w:val="hybridMultilevel"/>
    <w:tmpl w:val="A656C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35EF5"/>
    <w:multiLevelType w:val="hybridMultilevel"/>
    <w:tmpl w:val="FE0E04F4"/>
    <w:lvl w:ilvl="0" w:tplc="EC704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D697E"/>
    <w:multiLevelType w:val="hybridMultilevel"/>
    <w:tmpl w:val="9AD46646"/>
    <w:lvl w:ilvl="0" w:tplc="EC704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D26AC"/>
    <w:multiLevelType w:val="hybridMultilevel"/>
    <w:tmpl w:val="A9A82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A0D5E"/>
    <w:multiLevelType w:val="hybridMultilevel"/>
    <w:tmpl w:val="265C0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17001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FE34C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31F598C"/>
    <w:multiLevelType w:val="hybridMultilevel"/>
    <w:tmpl w:val="5F78F4EA"/>
    <w:lvl w:ilvl="0" w:tplc="356863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33E18"/>
    <w:multiLevelType w:val="hybridMultilevel"/>
    <w:tmpl w:val="9E940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B38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6E56FE3"/>
    <w:multiLevelType w:val="hybridMultilevel"/>
    <w:tmpl w:val="391661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B2604"/>
    <w:multiLevelType w:val="hybridMultilevel"/>
    <w:tmpl w:val="366E8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1B"/>
    <w:rsid w:val="00006C2E"/>
    <w:rsid w:val="00022853"/>
    <w:rsid w:val="00111157"/>
    <w:rsid w:val="001258E2"/>
    <w:rsid w:val="0023465B"/>
    <w:rsid w:val="002376A7"/>
    <w:rsid w:val="002B0C5E"/>
    <w:rsid w:val="002D0626"/>
    <w:rsid w:val="004B0A1B"/>
    <w:rsid w:val="005159AC"/>
    <w:rsid w:val="00540CC2"/>
    <w:rsid w:val="00726A27"/>
    <w:rsid w:val="007331DA"/>
    <w:rsid w:val="008F637D"/>
    <w:rsid w:val="00965BEE"/>
    <w:rsid w:val="009A3C89"/>
    <w:rsid w:val="00A07FAB"/>
    <w:rsid w:val="00A516EE"/>
    <w:rsid w:val="00B60B6A"/>
    <w:rsid w:val="00B96165"/>
    <w:rsid w:val="00BA1122"/>
    <w:rsid w:val="00BB1CE0"/>
    <w:rsid w:val="00C65AF8"/>
    <w:rsid w:val="00CB3C50"/>
    <w:rsid w:val="00CC63C1"/>
    <w:rsid w:val="00E36C3F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1B"/>
    <w:pPr>
      <w:spacing w:after="8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4B0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0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kHeading1">
    <w:name w:val="Ark Heading 1"/>
    <w:basedOn w:val="Heading1"/>
    <w:next w:val="Normal"/>
    <w:link w:val="ArkHeading1Char"/>
    <w:qFormat/>
    <w:rsid w:val="00CB3C50"/>
    <w:pPr>
      <w:keepLines w:val="0"/>
      <w:numPr>
        <w:numId w:val="4"/>
      </w:numPr>
      <w:spacing w:after="200" w:line="240" w:lineRule="auto"/>
      <w:ind w:left="357" w:hanging="357"/>
    </w:pPr>
    <w:rPr>
      <w:rFonts w:ascii="Century Gothic" w:eastAsia="Times New Roman" w:hAnsi="Century Gothic" w:cs="Times New Roman"/>
      <w:bCs w:val="0"/>
      <w:smallCaps/>
      <w:sz w:val="24"/>
      <w:szCs w:val="20"/>
    </w:rPr>
  </w:style>
  <w:style w:type="character" w:customStyle="1" w:styleId="ArkHeading1Char">
    <w:name w:val="Ark Heading 1 Char"/>
    <w:basedOn w:val="Heading1Char"/>
    <w:link w:val="ArkHeading1"/>
    <w:rsid w:val="00CB3C50"/>
    <w:rPr>
      <w:rFonts w:ascii="Century Gothic" w:eastAsia="Times New Roman" w:hAnsi="Century Gothic" w:cs="Times New Roman"/>
      <w:b/>
      <w:bCs w:val="0"/>
      <w:smallCaps/>
      <w:color w:val="365F91" w:themeColor="accent1" w:themeShade="BF"/>
      <w:sz w:val="24"/>
      <w:szCs w:val="20"/>
    </w:rPr>
  </w:style>
  <w:style w:type="paragraph" w:customStyle="1" w:styleId="ArkHeading2">
    <w:name w:val="Ark Heading 2"/>
    <w:basedOn w:val="Heading2"/>
    <w:next w:val="Normal"/>
    <w:qFormat/>
    <w:rsid w:val="00CB3C50"/>
    <w:pPr>
      <w:keepLines w:val="0"/>
      <w:numPr>
        <w:ilvl w:val="1"/>
        <w:numId w:val="4"/>
      </w:numPr>
      <w:spacing w:before="120" w:after="80" w:line="240" w:lineRule="auto"/>
    </w:pPr>
    <w:rPr>
      <w:rFonts w:ascii="Century Gothic" w:eastAsia="Times New Roman" w:hAnsi="Century Gothic" w:cs="Times New Roman"/>
      <w:bCs w:val="0"/>
      <w:smallCaps/>
      <w:color w:val="auto"/>
      <w:sz w:val="22"/>
      <w:szCs w:val="20"/>
    </w:rPr>
  </w:style>
  <w:style w:type="paragraph" w:customStyle="1" w:styleId="ArkHeading3">
    <w:name w:val="Ark Heading 3"/>
    <w:basedOn w:val="Heading3"/>
    <w:next w:val="ArkHeading2"/>
    <w:qFormat/>
    <w:rsid w:val="00CB3C50"/>
    <w:pPr>
      <w:keepLines w:val="0"/>
      <w:numPr>
        <w:ilvl w:val="2"/>
        <w:numId w:val="4"/>
      </w:numPr>
      <w:spacing w:before="120" w:after="120" w:line="240" w:lineRule="auto"/>
      <w:ind w:left="2160" w:hanging="180"/>
    </w:pPr>
    <w:rPr>
      <w:rFonts w:ascii="Century Gothic" w:eastAsia="Times New Roman" w:hAnsi="Century Gothic" w:cs="Times New Roman"/>
      <w:i/>
      <w:smallCaps/>
      <w:color w:val="auto"/>
      <w:sz w:val="2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3C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B3C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3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DA"/>
  </w:style>
  <w:style w:type="paragraph" w:styleId="Footer">
    <w:name w:val="footer"/>
    <w:basedOn w:val="Normal"/>
    <w:link w:val="FooterChar"/>
    <w:uiPriority w:val="99"/>
    <w:unhideWhenUsed/>
    <w:rsid w:val="00733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DA"/>
  </w:style>
  <w:style w:type="paragraph" w:styleId="BalloonText">
    <w:name w:val="Balloon Text"/>
    <w:basedOn w:val="Normal"/>
    <w:link w:val="BalloonTextChar"/>
    <w:uiPriority w:val="99"/>
    <w:semiHidden/>
    <w:unhideWhenUsed/>
    <w:rsid w:val="00B9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1B"/>
    <w:pPr>
      <w:spacing w:after="8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4B0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0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kHeading1">
    <w:name w:val="Ark Heading 1"/>
    <w:basedOn w:val="Heading1"/>
    <w:next w:val="Normal"/>
    <w:link w:val="ArkHeading1Char"/>
    <w:qFormat/>
    <w:rsid w:val="00CB3C50"/>
    <w:pPr>
      <w:keepLines w:val="0"/>
      <w:numPr>
        <w:numId w:val="4"/>
      </w:numPr>
      <w:spacing w:after="200" w:line="240" w:lineRule="auto"/>
      <w:ind w:left="357" w:hanging="357"/>
    </w:pPr>
    <w:rPr>
      <w:rFonts w:ascii="Century Gothic" w:eastAsia="Times New Roman" w:hAnsi="Century Gothic" w:cs="Times New Roman"/>
      <w:bCs w:val="0"/>
      <w:smallCaps/>
      <w:sz w:val="24"/>
      <w:szCs w:val="20"/>
    </w:rPr>
  </w:style>
  <w:style w:type="character" w:customStyle="1" w:styleId="ArkHeading1Char">
    <w:name w:val="Ark Heading 1 Char"/>
    <w:basedOn w:val="Heading1Char"/>
    <w:link w:val="ArkHeading1"/>
    <w:rsid w:val="00CB3C50"/>
    <w:rPr>
      <w:rFonts w:ascii="Century Gothic" w:eastAsia="Times New Roman" w:hAnsi="Century Gothic" w:cs="Times New Roman"/>
      <w:b/>
      <w:bCs w:val="0"/>
      <w:smallCaps/>
      <w:color w:val="365F91" w:themeColor="accent1" w:themeShade="BF"/>
      <w:sz w:val="24"/>
      <w:szCs w:val="20"/>
    </w:rPr>
  </w:style>
  <w:style w:type="paragraph" w:customStyle="1" w:styleId="ArkHeading2">
    <w:name w:val="Ark Heading 2"/>
    <w:basedOn w:val="Heading2"/>
    <w:next w:val="Normal"/>
    <w:qFormat/>
    <w:rsid w:val="00CB3C50"/>
    <w:pPr>
      <w:keepLines w:val="0"/>
      <w:numPr>
        <w:ilvl w:val="1"/>
        <w:numId w:val="4"/>
      </w:numPr>
      <w:spacing w:before="120" w:after="80" w:line="240" w:lineRule="auto"/>
    </w:pPr>
    <w:rPr>
      <w:rFonts w:ascii="Century Gothic" w:eastAsia="Times New Roman" w:hAnsi="Century Gothic" w:cs="Times New Roman"/>
      <w:bCs w:val="0"/>
      <w:smallCaps/>
      <w:color w:val="auto"/>
      <w:sz w:val="22"/>
      <w:szCs w:val="20"/>
    </w:rPr>
  </w:style>
  <w:style w:type="paragraph" w:customStyle="1" w:styleId="ArkHeading3">
    <w:name w:val="Ark Heading 3"/>
    <w:basedOn w:val="Heading3"/>
    <w:next w:val="ArkHeading2"/>
    <w:qFormat/>
    <w:rsid w:val="00CB3C50"/>
    <w:pPr>
      <w:keepLines w:val="0"/>
      <w:numPr>
        <w:ilvl w:val="2"/>
        <w:numId w:val="4"/>
      </w:numPr>
      <w:spacing w:before="120" w:after="120" w:line="240" w:lineRule="auto"/>
      <w:ind w:left="2160" w:hanging="180"/>
    </w:pPr>
    <w:rPr>
      <w:rFonts w:ascii="Century Gothic" w:eastAsia="Times New Roman" w:hAnsi="Century Gothic" w:cs="Times New Roman"/>
      <w:i/>
      <w:smallCaps/>
      <w:color w:val="auto"/>
      <w:sz w:val="2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3C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B3C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3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DA"/>
  </w:style>
  <w:style w:type="paragraph" w:styleId="Footer">
    <w:name w:val="footer"/>
    <w:basedOn w:val="Normal"/>
    <w:link w:val="FooterChar"/>
    <w:uiPriority w:val="99"/>
    <w:unhideWhenUsed/>
    <w:rsid w:val="00733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DA"/>
  </w:style>
  <w:style w:type="paragraph" w:styleId="BalloonText">
    <w:name w:val="Balloon Text"/>
    <w:basedOn w:val="Normal"/>
    <w:link w:val="BalloonTextChar"/>
    <w:uiPriority w:val="99"/>
    <w:semiHidden/>
    <w:unhideWhenUsed/>
    <w:rsid w:val="00B9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5A77D994.dotm</Template>
  <TotalTime>0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Ponzini Davide TRS-D EXTERN</dc:creator>
  <cp:lastModifiedBy>Ponzini Davide TRS-D EXTERN</cp:lastModifiedBy>
  <cp:revision>22</cp:revision>
  <dcterms:created xsi:type="dcterms:W3CDTF">2019-03-22T07:47:00Z</dcterms:created>
  <dcterms:modified xsi:type="dcterms:W3CDTF">2019-03-25T08:27:00Z</dcterms:modified>
</cp:coreProperties>
</file>