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rId42.png" ContentType="image/png"/>
  <Override PartName="/word/media/rId40.png" ContentType="image/png"/>
  <Override PartName="/word/media/rId38.png" ContentType="image/png"/>
  <Override PartName="/word/media/rId36.png" ContentType="image/png"/>
  <Override PartName="/word/media/rId34.png" ContentType="image/png"/>
  <Override PartName="/word/media/rId29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Magallanes</w:t>
      </w:r>
      <w:r>
        <w:t xml:space="preserve"> </w:t>
      </w:r>
      <w:r>
        <w:t xml:space="preserve">y</w:t>
      </w:r>
      <w:r>
        <w:t xml:space="preserve"> </w:t>
      </w:r>
      <w:r>
        <w:t xml:space="preserve">la</w:t>
      </w:r>
      <w:r>
        <w:t xml:space="preserve"> </w:t>
      </w:r>
      <w:r>
        <w:t xml:space="preserve">Antártica</w:t>
      </w:r>
      <w:r>
        <w:t xml:space="preserve"> </w:t>
      </w:r>
      <w:r>
        <w:t xml:space="preserve">Chilena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09/06/2020</w:t>
      </w:r>
    </w:p>
    <w:p>
      <w:pPr>
        <w:pStyle w:val="Heading1"/>
      </w:pPr>
      <w:bookmarkStart w:id="21" w:name="sobre-la-información-presentada-1"/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  <w:bookmarkEnd w:id="21"/>
    </w:p>
    <w:p>
      <w:pPr>
        <w:pStyle w:val="Heading6"/>
      </w:pPr>
      <w:bookmarkStart w:id="22" w:name="X0554251e25d4765d379468008a3e5d5eea6c21f"/>
      <w:r>
        <w:t xml:space="preserve">A continuación, se presenta un ejemplo de minuta con diferentes indicadores asociados a la</w:t>
      </w:r>
      <w:r>
        <w:t xml:space="preserve"> </w:t>
      </w:r>
      <w:r>
        <w:rPr>
          <w:b/>
        </w:rPr>
        <w:t xml:space="preserve">Región de Magallanes y la Antártica Chilena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/>
        </w:rPr>
        <w:t xml:space="preserve">09/06/2020</w:t>
      </w:r>
      <w:r>
        <w:t xml:space="preserve">.</w:t>
      </w:r>
      <w:bookmarkEnd w:id="22"/>
    </w:p>
    <w:p>
      <w:pPr>
        <w:pStyle w:val="Heading1"/>
      </w:pPr>
      <w:bookmarkStart w:id="23" w:name="unidades-fiscalizables"/>
      <w:r>
        <w:t xml:space="preserve">2. Unidades Fiscalizables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622</w:t>
      </w:r>
      <w:r>
        <w:t xml:space="preserve"> </w:t>
      </w:r>
      <w:r>
        <w:t xml:space="preserve">de las</w:t>
      </w:r>
      <w:r>
        <w:t xml:space="preserve"> </w:t>
      </w:r>
      <w:r>
        <w:rPr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/>
        </w:rPr>
        <w:t xml:space="preserve">Región de Magallanes y la Antártica Chilena</w:t>
      </w:r>
      <w:r>
        <w:t xml:space="preserve"> </w:t>
      </w:r>
      <w:r>
        <w:t xml:space="preserve">(3.9%).</w:t>
      </w:r>
    </w:p>
    <w:p>
      <w:pPr>
        <w:pStyle w:val="Compact"/>
        <w:numPr>
          <w:numId w:val="1001"/>
          <w:ilvl w:val="0"/>
        </w:numPr>
      </w:pPr>
      <w:r>
        <w:t xml:space="preserve">Estas se concentran mayoritariamente en la categoría</w:t>
      </w:r>
      <w:r>
        <w:t xml:space="preserve"> </w:t>
      </w:r>
      <w:r>
        <w:rPr>
          <w:b/>
        </w:rPr>
        <w:t xml:space="preserve">Pesca y Acuicultura</w:t>
      </w:r>
      <w:r>
        <w:t xml:space="preserve"> </w:t>
      </w:r>
      <w:r>
        <w:t xml:space="preserve">(212 UFs), seguida por la</w:t>
      </w:r>
      <w:r>
        <w:t xml:space="preserve"> </w:t>
      </w:r>
      <w:r>
        <w:rPr>
          <w:b/>
        </w:rPr>
        <w:t xml:space="preserve">Minería</w:t>
      </w:r>
      <w:r>
        <w:t xml:space="preserve"> </w:t>
      </w:r>
      <w:r>
        <w:t xml:space="preserve">(191 UFs)</w:t>
      </w:r>
    </w:p>
    <w:p>
      <w:pPr>
        <w:pStyle w:val="Heading2"/>
      </w:pPr>
      <w:bookmarkStart w:id="24" w:name="Xc6578436fff1e7ef48353eb4a932df31e17408e"/>
      <w:r>
        <w:t xml:space="preserve">2.1 Localización UFs en la Región de Magallanes y la Antártica Chilena</w:t>
      </w:r>
      <w:bookmarkEnd w:id="24"/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pa/map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distribución-de-ufs-a-nivel-nacional"/>
      <w:r>
        <w:t xml:space="preserve">2.2 Distribución de UFs a nivel nacional</w:t>
      </w:r>
      <w:bookmarkEnd w:id="26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PorRegion_files/figure-docx/Gráfico:%20UFs%20por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Xf6f59e19b18577d9525d3b97c89661912afbd24"/>
      <w:r>
        <w:t xml:space="preserve">2.3 UFs de la Región de Magallanes y la Antártica Chilena por sector</w:t>
      </w:r>
      <w:bookmarkEnd w:id="28"/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PorRegion_files/figure-docx/Gráfico:%20UFs%20por%20categoría%20económ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X9d8156814978a59e4d000222c27f19230e62adb"/>
      <w:r>
        <w:t xml:space="preserve">2.4 Las 5 Categorías Económicas de Región de Magallanes y la Antártica Chilena con más RCA</w:t>
      </w:r>
      <w:bookmarkEnd w:id="3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2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Categoría Económica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RCAs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Minería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Pesca y Acuicultura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Equipamiento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Otras categorías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Saneamiento Ambiental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27</w:t>
            </w:r>
          </w:p>
        </w:tc>
      </w:tr>
    </w:tbl>
    <w:p>
      <w:pPr>
        <w:pStyle w:val="Heading1"/>
      </w:pPr>
      <w:bookmarkStart w:id="31" w:name="formulaciones-de-cargo"/>
      <w:r>
        <w:t xml:space="preserve">3. Formulaciones de cargo</w:t>
      </w:r>
      <w:bookmarkEnd w:id="31"/>
    </w:p>
    <w:p>
      <w:pPr>
        <w:pStyle w:val="Heading2"/>
      </w:pPr>
      <w:bookmarkStart w:id="32" w:name="formulaciones-de-cargo-fdc"/>
      <w:r>
        <w:t xml:space="preserve">6.1 Formulaciones de cargo (FDC)</w:t>
      </w:r>
      <w:bookmarkEnd w:id="32"/>
    </w:p>
    <w:p>
      <w:pPr>
        <w:pStyle w:val="Compact"/>
        <w:numPr>
          <w:numId w:val="1002"/>
          <w:ilvl w:val="0"/>
        </w:numPr>
      </w:pPr>
      <w:r>
        <w:t xml:space="preserve">La Región de Magallanes y la Antártica Chilena ocupa el lugar 12 respecto al resto de las regiones en número de FdC.</w:t>
      </w:r>
    </w:p>
    <w:p>
      <w:pPr>
        <w:pStyle w:val="Compact"/>
        <w:numPr>
          <w:numId w:val="1002"/>
          <w:ilvl w:val="0"/>
        </w:numPr>
      </w:pPr>
      <w:r>
        <w:t xml:space="preserve">De</w:t>
      </w:r>
      <w:r>
        <w:t xml:space="preserve"> </w:t>
      </w:r>
      <w:r>
        <w:rPr>
          <w:b/>
        </w:rPr>
        <w:t xml:space="preserve">955</w:t>
      </w:r>
      <w:r>
        <w:t xml:space="preserve"> </w:t>
      </w:r>
      <w:r>
        <w:t xml:space="preserve">FdC,</w:t>
      </w:r>
      <w:r>
        <w:t xml:space="preserve"> </w:t>
      </w:r>
      <w:r>
        <w:rPr>
          <w:b/>
        </w:rPr>
        <w:t xml:space="preserve">34</w:t>
      </w:r>
      <w:r>
        <w:t xml:space="preserve"> </w:t>
      </w:r>
      <w:r>
        <w:t xml:space="preserve">(</w:t>
      </w:r>
      <w:r>
        <w:rPr>
          <w:b/>
        </w:rPr>
        <w:t xml:space="preserve">3,6%</w:t>
      </w:r>
      <w:r>
        <w:t xml:space="preserve">) han sido en la</w:t>
      </w:r>
      <w:r>
        <w:t xml:space="preserve"> </w:t>
      </w:r>
      <w:r>
        <w:rPr>
          <w:b/>
        </w:rPr>
        <w:t xml:space="preserve">Región de Magallanes y la Antártica Chilena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Dentro de la</w:t>
      </w:r>
      <w:r>
        <w:t xml:space="preserve"> </w:t>
      </w:r>
      <w:r>
        <w:rPr>
          <w:b/>
        </w:rPr>
        <w:t xml:space="preserve">Región de Magallanes y la Antártica Chilena</w:t>
      </w:r>
      <w:r>
        <w:t xml:space="preserve">, 50% de las FdC fueron iniciadas a partir de</w:t>
      </w:r>
      <w:r>
        <w:t xml:space="preserve"> </w:t>
      </w:r>
      <w:r>
        <w:rPr>
          <w:b/>
        </w:rPr>
        <w:t xml:space="preserve">denuncias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Pesca y Acuicultura</w:t>
      </w:r>
      <w:r>
        <w:t xml:space="preserve"> </w:t>
      </w:r>
      <w:r>
        <w:t xml:space="preserve">es el sector que concentra el mayor número de FdC en la Región de Magallanes y la Antártica Chilena (15) seguida por</w:t>
      </w:r>
      <w:r>
        <w:t xml:space="preserve"> </w:t>
      </w:r>
      <w:r>
        <w:rPr>
          <w:b/>
        </w:rPr>
        <w:t xml:space="preserve">Minería</w:t>
      </w:r>
      <w:r>
        <w:t xml:space="preserve"> </w:t>
      </w:r>
      <w:r>
        <w:t xml:space="preserve">(6).</w:t>
      </w:r>
    </w:p>
    <w:p>
      <w:pPr>
        <w:pStyle w:val="Heading3"/>
      </w:pPr>
      <w:bookmarkStart w:id="33" w:name="fdc-por-región"/>
      <w:r>
        <w:t xml:space="preserve">FDC por región</w:t>
      </w:r>
      <w:bookmarkEnd w:id="33"/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PorRegion_files/figure-docx/Gráfico:%20FDC%20reg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Xa8658160678304e3fb37a98f934821a776b73b7"/>
      <w:r>
        <w:t xml:space="preserve">FDC asociadas a la Región de Magallanes y la Antártica Chilena por año</w:t>
      </w:r>
      <w:bookmarkEnd w:id="35"/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PorRegion_files/figure-docx/Gráfico:%20FDC%20Añ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X98112ef47114d77a9ce23970870c54fc21b5bdb"/>
      <w:r>
        <w:t xml:space="preserve">Distribución de FDC asociadas a la Región de Magallanes y la Antártica Chilena por sector</w:t>
      </w:r>
      <w:bookmarkEnd w:id="37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PorRegion_files/figure-docx/Gráfico%20FDC%20por%20categori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Xdafb72f2038733354bc13fdf0425134cb85f9a4"/>
      <w:r>
        <w:t xml:space="preserve">FDC asociadas a la Región de Magallanes y la Antártica Chilena por origen</w:t>
      </w:r>
      <w:bookmarkEnd w:id="39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PorRegion_files/figure-docx/Gráfico%20FDC%20Orig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X169da831a224a4b1c94a0221c37b447cc5ec150"/>
      <w:r>
        <w:t xml:space="preserve">FDC asociadas a la Región de Magallanes y la Antártica Chilena por estado</w:t>
      </w:r>
      <w:bookmarkEnd w:id="41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PorRegion_files/figure-docx/Gráfico%20FDC%20Estad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7909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A2CB60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07F7F"/>
    <w:pPr>
      <w:keepNext/>
      <w:keepLines/>
      <w:spacing w:before="480" w:after="120"/>
      <w:outlineLvl w:val="0"/>
    </w:pPr>
    <w:rPr>
      <w:rFonts w:ascii="Calibri" w:eastAsiaTheme="majorEastAsia" w:hAnsi="Calibr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07F7F"/>
    <w:pPr>
      <w:keepNext/>
      <w:keepLines/>
      <w:spacing w:before="200" w:after="120"/>
      <w:outlineLvl w:val="1"/>
    </w:pPr>
    <w:rPr>
      <w:rFonts w:ascii="Calibri" w:eastAsiaTheme="majorEastAsia" w:hAnsi="Calibri" w:cstheme="majorBidi"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62EFE"/>
    <w:pPr>
      <w:keepNext/>
      <w:keepLines/>
      <w:spacing w:before="200" w:after="120"/>
      <w:outlineLvl w:val="2"/>
    </w:pPr>
    <w:rPr>
      <w:rFonts w:ascii="Calibri" w:eastAsiaTheme="majorEastAsia" w:hAnsi="Calibri" w:cstheme="majorBidi"/>
      <w:bCs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before="200" w:after="0" w:line="20" w:lineRule="exact"/>
      <w:contextualSpacing/>
      <w:outlineLvl w:val="4"/>
    </w:pPr>
    <w:rPr>
      <w:rFonts w:ascii="Times New Roman" w:eastAsiaTheme="majorEastAsia" w:hAnsi="Times New Roman" w:cstheme="majorBidi"/>
      <w:i/>
      <w:iCs/>
      <w:color w:val="FFFFFF" w:themeColor="background1"/>
      <w:sz w:val="6"/>
    </w:rPr>
  </w:style>
  <w:style w:type="paragraph" w:styleId="Heading6">
    <w:name w:val="heading 6"/>
    <w:basedOn w:val="Normal"/>
    <w:next w:val="BodyText"/>
    <w:uiPriority w:val="9"/>
    <w:unhideWhenUsed/>
    <w:qFormat/>
    <w:rsid w:val="00807F7F"/>
    <w:pPr>
      <w:keepNext/>
      <w:keepLines/>
      <w:spacing w:before="200" w:after="240"/>
      <w:jc w:val="both"/>
      <w:outlineLvl w:val="5"/>
    </w:pPr>
    <w:rPr>
      <w:rFonts w:ascii="Calibri" w:eastAsiaTheme="majorEastAsia" w:hAnsi="Calibr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BodyText2"/>
    <w:link w:val="BodyTextChar"/>
    <w:qFormat/>
    <w:rsid w:val="007F062A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type="paragraph" w:customStyle="1" w:styleId="Compact">
    <w:name w:val="Compact"/>
    <w:basedOn w:val="BodyText"/>
    <w:qFormat/>
    <w:rsid w:val="00431174"/>
    <w:pPr>
      <w:spacing w:before="36" w:after="36"/>
    </w:pPr>
    <w:rPr>
      <w:rFonts w:ascii="Calibri" w:hAnsi="Calibri"/>
      <w:sz w:val="22"/>
    </w:rPr>
  </w:style>
  <w:style w:type="paragraph" w:styleId="Title">
    <w:name w:val="Title"/>
    <w:basedOn w:val="Normal"/>
    <w:next w:val="BodyText"/>
    <w:qFormat/>
    <w:rsid w:val="00807F7F"/>
    <w:pPr>
      <w:keepNext/>
      <w:keepLines/>
      <w:spacing w:before="240" w:after="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type="paragraph" w:customStyle="1" w:styleId="Author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styleId="Date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5B3AD6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F062A"/>
    <w:rPr>
      <w:rFonts w:ascii="Times New Roman" w:hAnsi="Times New Roman"/>
    </w:rPr>
  </w:style>
  <w:style w:type="table" w:styleId="ListTable1Light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rsid w:val="00A41FC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type="character" w:customStyle="1" w:styleId="BodyText2Char">
    <w:name w:val="Body Text 2 Char"/>
    <w:basedOn w:val="DefaultParagraphFont"/>
    <w:link w:val="BodyText2"/>
    <w:rsid w:val="00D85CAC"/>
    <w:rPr>
      <w:b/>
      <w:sz w:val="18"/>
    </w:rPr>
  </w:style>
  <w:style w:type="paragraph" w:styleId="Header">
    <w:name w:val="header"/>
    <w:basedOn w:val="Normal"/>
    <w:link w:val="HeaderChar"/>
    <w:unhideWhenUsed/>
    <w:rsid w:val="005D657D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D657D"/>
  </w:style>
  <w:style w:type="paragraph" w:styleId="Footer">
    <w:name w:val="footer"/>
    <w:basedOn w:val="Normal"/>
    <w:link w:val="FooterChar"/>
    <w:uiPriority w:val="99"/>
    <w:unhideWhenUsed/>
    <w:rsid w:val="00AD2284"/>
    <w:pPr>
      <w:tabs>
        <w:tab w:val="center" w:pos="4419"/>
        <w:tab w:val="right" w:pos="8838"/>
      </w:tabs>
      <w:spacing w:after="0"/>
    </w:pPr>
    <w:rPr>
      <w:rFonts w:ascii="Times New Roman" w:hAnsi="Times New Roman"/>
      <w:color w:val="000000" w:themeColor="text1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D2284"/>
    <w:rPr>
      <w:rFonts w:ascii="Times New Roman" w:hAnsi="Times New Roman"/>
      <w:color w:val="000000" w:themeColor="text1"/>
      <w:sz w:val="22"/>
    </w:rPr>
  </w:style>
  <w:style w:type="paragraph" w:customStyle="1" w:styleId="TextoCuerpo">
    <w:name w:val="TextoCuerpo"/>
    <w:basedOn w:val="FirstParagraph"/>
    <w:link w:val="TextoCuerpoCar"/>
    <w:qFormat/>
    <w:rsid w:val="00830675"/>
  </w:style>
  <w:style w:type="character" w:customStyle="1" w:styleId="FirstParagraphCar">
    <w:name w:val="First Paragraph Car"/>
    <w:basedOn w:val="BodyTextChar"/>
    <w:link w:val="FirstParagraph"/>
    <w:rsid w:val="00807F7F"/>
    <w:rPr>
      <w:rFonts w:ascii="Calibri" w:hAnsi="Calibri"/>
    </w:rPr>
  </w:style>
  <w:style w:type="character" w:customStyle="1" w:styleId="TextoCuerpoCar">
    <w:name w:val="TextoCuerpo Car"/>
    <w:basedOn w:val="FirstParagraphCar"/>
    <w:link w:val="TextoCuerpo"/>
    <w:rsid w:val="00830675"/>
    <w:rPr>
      <w:rFonts w:ascii="Times New Roman" w:hAnsi="Times New Roman"/>
    </w:rPr>
  </w:style>
  <w:style w:type="paragraph" w:customStyle="1" w:styleId="Estilo1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Magallanes y la Antártica Chilena</dc:title>
  <dc:creator>Pablo Aguirre Hörmann</dc:creator>
  <cp:keywords/>
  <dcterms:created xsi:type="dcterms:W3CDTF">2020-06-09T20:47:40Z</dcterms:created>
  <dcterms:modified xsi:type="dcterms:W3CDTF">2020-06-09T20:47:40Z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09/06/2020</vt:lpwstr>
  </property>
  <property fmtid="{D5CDD505-2E9C-101B-9397-08002B2CF9AE}" pid="3" name="output">
    <vt:lpwstr/>
  </property>
  <property fmtid="{D5CDD505-2E9C-101B-9397-08002B2CF9AE}" pid="4" name="params">
    <vt:lpwstr/>
  </property>
</Properties>
</file>