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Tarapacá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Date"/>
      </w:pPr>
      <w:r>
        <w:t xml:space="preserve">07/06/2020</w:t>
      </w:r>
    </w:p>
    <w:p>
      <w:pPr>
        <w:pStyle w:val="Heading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  <w:bookmarkEnd w:id="21"/>
    </w:p>
    <w:p>
      <w:pPr>
        <w:pStyle w:val="Heading6"/>
      </w:pPr>
      <w:bookmarkStart w:id="22" w:name="X8c9101958d013a10c22e4f9933dac9703d401db"/>
      <w:r>
        <w:t xml:space="preserve">A continuación, se presenta una ejemplo de minuta con diferentes indicadores asociados a la</w:t>
      </w:r>
      <w:r>
        <w:t xml:space="preserve"> </w:t>
      </w:r>
      <w:r>
        <w:rPr>
          <w:b/>
        </w:rPr>
        <w:t xml:space="preserve">Región de Tarapacá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/>
        </w:rPr>
        <w:t xml:space="preserve">07/06/2020</w:t>
      </w:r>
      <w:r>
        <w:t xml:space="preserve">.</w:t>
      </w:r>
      <w:bookmarkEnd w:id="22"/>
    </w:p>
    <w:p>
      <w:pPr>
        <w:pStyle w:val="Heading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362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Tarapacá</w:t>
      </w:r>
      <w:r>
        <w:t xml:space="preserve"> </w:t>
      </w:r>
      <w:r>
        <w:t xml:space="preserve">(2.3%).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(86 UFs), seguida por la</w:t>
      </w:r>
      <w:r>
        <w:t xml:space="preserve"> </w:t>
      </w:r>
      <w:r>
        <w:rPr>
          <w:b/>
        </w:rPr>
        <w:t xml:space="preserve">Minería</w:t>
      </w:r>
      <w:r>
        <w:t xml:space="preserve"> </w:t>
      </w:r>
      <w:r>
        <w:t xml:space="preserve">(42 UFs)</w:t>
      </w:r>
    </w:p>
    <w:p>
      <w:pPr>
        <w:pStyle w:val="Heading2"/>
      </w:pPr>
      <w:bookmarkStart w:id="24" w:name="X31d678b257e504e0e48d1ddb4a15d6c0d545835"/>
      <w:r>
        <w:t xml:space="preserve">2.1 Localización UFs en la Región de Tarapacá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ufs-de-la-región-de-tarapacá-por-sector"/>
      <w:r>
        <w:t xml:space="preserve">2.3 UFs de la Región de Tarapacá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a58ce2d8f970183bd939e925520de5fbd4249ba"/>
      <w:r>
        <w:t xml:space="preserve">2.4 Las 5 Categorías Económicas de Región de Tarapacá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Minería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46</w:t>
            </w:r>
          </w:p>
        </w:tc>
      </w:tr>
    </w:tbl>
    <w:p>
      <w:pPr>
        <w:pStyle w:val="Heading1"/>
      </w:pPr>
      <w:bookmarkStart w:id="31" w:name="formulaciones-de-cargo"/>
      <w:r>
        <w:t xml:space="preserve">3. Formulaciones de cargo</w:t>
      </w:r>
      <w:bookmarkEnd w:id="31"/>
    </w:p>
    <w:p>
      <w:pPr>
        <w:pStyle w:val="Heading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Tarapacá ocupa el lugar 15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954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26</w:t>
      </w:r>
      <w:r>
        <w:t xml:space="preserve"> </w:t>
      </w:r>
      <w:r>
        <w:t xml:space="preserve">(</w:t>
      </w:r>
      <w:r>
        <w:rPr>
          <w:b/>
        </w:rPr>
        <w:t xml:space="preserve">2,7%</w:t>
      </w:r>
      <w:r>
        <w:t xml:space="preserve">) han sido en la</w:t>
      </w:r>
      <w:r>
        <w:t xml:space="preserve"> </w:t>
      </w:r>
      <w:r>
        <w:rPr>
          <w:b/>
        </w:rPr>
        <w:t xml:space="preserve">Región de Tarapacá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Tarapacá</w:t>
      </w:r>
      <w:r>
        <w:t xml:space="preserve">, 73,1%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Tarapacá (11) seguida por</w:t>
      </w:r>
      <w:r>
        <w:t xml:space="preserve"> </w:t>
      </w:r>
      <w:r>
        <w:rPr>
          <w:b/>
        </w:rPr>
        <w:t xml:space="preserve">Minería</w:t>
      </w:r>
      <w:r>
        <w:t xml:space="preserve"> </w:t>
      </w:r>
      <w:r>
        <w:t xml:space="preserve">(6).</w:t>
      </w:r>
    </w:p>
    <w:p>
      <w:pPr>
        <w:pStyle w:val="Heading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X92a2d32fadd09f5783ff9b9fa5470d35d7852fd"/>
      <w:r>
        <w:t xml:space="preserve">FDC asociadas a la Región de Tarapacá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Xc32e42a2a32695996e57e41eb2fcf3d3444bda6"/>
      <w:r>
        <w:t xml:space="preserve">Distribución de FDC asociadas a la Región de Tarapacá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X9793c2f724c5bbc786c0142b4a93a7dbbb6ee66"/>
      <w:r>
        <w:t xml:space="preserve">FDC asociadas a la Región de Tarapacá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X84a98f81e1b5d089c56eb0246ed42172f343eb2"/>
      <w:r>
        <w:t xml:space="preserve">FDC asociadas a la Región de Tarapacá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909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63503DE6" w:rsidR="005D657D" w:rsidRDefault="00481A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1F111F" wp14:editId="3A16EB88">
              <wp:simplePos x="0" y="0"/>
              <wp:positionH relativeFrom="margin">
                <wp:align>left</wp:align>
              </wp:positionH>
              <wp:positionV relativeFrom="paragraph">
                <wp:posOffset>77682</wp:posOffset>
              </wp:positionV>
              <wp:extent cx="1231900" cy="45719"/>
              <wp:effectExtent l="0" t="0" r="25400" b="1206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1900" cy="45719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1C40BB" id="Rectangle 10" o:spid="_x0000_s1026" style="position:absolute;margin-left:0;margin-top:6.1pt;width:97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" fillcolor="black [3200]" strokecolor="black [1600]" strokeweight="2pt">
              <w10:wrap anchorx="margin"/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A2CB6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Heading6">
    <w:name w:val="heading 6"/>
    <w:basedOn w:val="Normal"/>
    <w:next w:val="BodyText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2"/>
    <w:link w:val="BodyTextCh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BodyText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Title">
    <w:name w:val="Title"/>
    <w:basedOn w:val="Normal"/>
    <w:next w:val="BodyText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F062A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A41F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type="character" w:customStyle="1" w:styleId="BodyText2Char">
    <w:name w:val="Body Text 2 Char"/>
    <w:basedOn w:val="DefaultParagraphFont"/>
    <w:link w:val="BodyText2"/>
    <w:rsid w:val="00D85CAC"/>
    <w:rPr>
      <w:b/>
      <w:sz w:val="18"/>
    </w:rPr>
  </w:style>
  <w:style w:type="paragraph" w:styleId="Header">
    <w:name w:val="header"/>
    <w:basedOn w:val="Normal"/>
    <w:link w:val="HeaderCh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D657D"/>
  </w:style>
  <w:style w:type="paragraph" w:styleId="Footer">
    <w:name w:val="footer"/>
    <w:basedOn w:val="Normal"/>
    <w:link w:val="FooterCh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BodyTextCh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Tarapacá</dc:title>
  <dc:creator>Departamento de Gestión de la Información</dc:creator>
  <cp:keywords/>
  <dcterms:created xsi:type="dcterms:W3CDTF">2020-06-07T19:31:44Z</dcterms:created>
  <dcterms:modified xsi:type="dcterms:W3CDTF">2020-06-07T19:31:44Z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07/06/2020</vt:lpwstr>
  </property>
  <property fmtid="{D5CDD505-2E9C-101B-9397-08002B2CF9AE}" pid="3" name="output">
    <vt:lpwstr/>
  </property>
  <property fmtid="{D5CDD505-2E9C-101B-9397-08002B2CF9AE}" pid="4" name="params">
    <vt:lpwstr/>
  </property>
</Properties>
</file>