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20" w:after="160"/>
        <w:jc w:val="center"/>
        <w:pBdr>
          <w:bottom w:val="single" w:sz="8" w:space="8" w:color="1F4E79"/>
        </w:pBdr>
      </w:pPr>
      <w:r>
        <w:rPr>
          <w:rFonts w:ascii="Times New Roman" w:hAnsi="Times New Roman" w:eastAsia="Times New Roman"/>
          <w:b/>
          <w:i w:val="0"/>
          <w:color w:val="1F4E79"/>
          <w:sz w:val="30"/>
        </w:rPr>
        <w:t>READER SELECTIVITY IN MULTI-PATHOLOGIST CERVICAL CYTOLOGY ANNOTATIONS: AN ANALYSIS OF RIVA AND A NEGATIVE RESULT FOR READER-AWARE CORRECTION</w:t>
      </w:r>
    </w:p>
    <w:p>
      <w:pPr>
        <w:keepNext w:val="0"/>
        <w:spacing w:before="40" w:after="200"/>
        <w:jc w:val="center"/>
      </w:pPr>
      <w:r>
        <w:rPr>
          <w:rFonts w:ascii="Times New Roman" w:hAnsi="Times New Roman" w:eastAsia="Times New Roman"/>
          <w:b w:val="0"/>
          <w:i/>
          <w:sz w:val="19"/>
        </w:rPr>
        <w:t>David Adekoya [co-authors, affiliations and corresponding author to be confirmed]</w:t>
      </w:r>
    </w:p>
    <w:p>
      <w:pPr>
        <w:keepNext/>
        <w:spacing w:before="200" w:after="120"/>
        <w:ind w:left="115"/>
        <w:jc w:val="left"/>
        <w:shd w:val="clear" w:color="auto" w:fill="EAF1F8"/>
        <w:pBdr>
          <w:left w:val="single" w:sz="36" w:space="6" w:color="1F4E79"/>
        </w:pBdr>
      </w:pPr>
      <w:r>
        <w:rPr>
          <w:rFonts w:ascii="Times New Roman" w:hAnsi="Times New Roman" w:eastAsia="Times New Roman"/>
          <w:b/>
          <w:i w:val="0"/>
          <w:color w:val="1F4E79"/>
          <w:sz w:val="22"/>
        </w:rPr>
        <w:t>ABSTRACT</w:t>
      </w:r>
    </w:p>
    <w:p>
      <w:pPr>
        <w:keepNext w:val="0"/>
        <w:spacing w:before="0" w:after="0"/>
        <w:ind w:left="144" w:right="144"/>
        <w:jc w:val="both"/>
        <w:pBdr>
          <w:top w:val="single" w:sz="6" w:space="6" w:color="1F4E79"/>
          <w:left w:val="single" w:sz="6" w:space="6" w:color="1F4E79"/>
          <w:bottom w:val="single" w:sz="6" w:space="6" w:color="1F4E79"/>
          <w:right w:val="single" w:sz="6" w:space="6" w:color="1F4E79"/>
        </w:pBdr>
      </w:pPr>
      <w:r>
        <w:rPr>
          <w:rFonts w:ascii="Times New Roman" w:hAnsi="Times New Roman" w:eastAsia="Times New Roman"/>
          <w:b/>
          <w:i w:val="0"/>
          <w:sz w:val="19"/>
        </w:rPr>
        <w:t>Background.</w:t>
      </w:r>
      <w:r>
        <w:rPr>
          <w:rFonts w:ascii="Times New Roman" w:hAnsi="Times New Roman" w:eastAsia="Times New Roman"/>
          <w:b w:val="0"/>
          <w:i w:val="0"/>
          <w:sz w:val="19"/>
        </w:rPr>
        <w:t xml:space="preserve"> Datasets with several independent pathologist annotations are appearing, but most training pipelines still treat an unmarked cell as negative and assume readers are interchangeable. RIVA, a public set of conventional Pap-smear patches, explicitly assumes equal expertise across its four pathologists.</w:t>
      </w:r>
    </w:p>
    <w:p>
      <w:pPr>
        <w:keepNext w:val="0"/>
        <w:spacing w:before="0" w:after="0"/>
        <w:ind w:left="144" w:right="144"/>
        <w:jc w:val="both"/>
        <w:pBdr>
          <w:top w:val="single" w:sz="6" w:space="6" w:color="1F4E79"/>
          <w:left w:val="single" w:sz="6" w:space="6" w:color="1F4E79"/>
          <w:bottom w:val="single" w:sz="6" w:space="6" w:color="1F4E79"/>
          <w:right w:val="single" w:sz="6" w:space="6" w:color="1F4E79"/>
        </w:pBdr>
      </w:pPr>
      <w:r>
        <w:rPr>
          <w:rFonts w:ascii="Times New Roman" w:hAnsi="Times New Roman" w:eastAsia="Times New Roman"/>
          <w:b/>
          <w:i w:val="0"/>
          <w:sz w:val="19"/>
        </w:rPr>
        <w:t>Methods.</w:t>
      </w:r>
      <w:r>
        <w:rPr>
          <w:rFonts w:ascii="Times New Roman" w:hAnsi="Times New Roman" w:eastAsia="Times New Roman"/>
          <w:b w:val="0"/>
          <w:i w:val="0"/>
          <w:sz w:val="19"/>
        </w:rPr>
        <w:t xml:space="preserve"> We analysed 386 RIVA patches independently annotated by four cytopathologists (959 patches, 115 patients in total). Points were matched across readers at a radius of 1.85 percent of image size (7,470 matched cells; the dataset paper reports 7,507). We measured how often each reader marked cells that others marked, by cell class and local density; checked with image features whether solo marks sit on cell-like objects; simulated single-reader labelling and compared naive training with propensity-weighted positive-unlabelled corrections (frozen ResNet18 and DINOv2-small features, slide-grouped five-fold cross-validation, three seeds); and compared model confidence with a head trained on the share of readers who marked a cell as a deferral signal.</w:t>
      </w:r>
    </w:p>
    <w:p>
      <w:pPr>
        <w:keepNext w:val="0"/>
        <w:spacing w:before="0" w:after="0"/>
        <w:ind w:left="144" w:right="144"/>
        <w:jc w:val="both"/>
        <w:pBdr>
          <w:top w:val="single" w:sz="6" w:space="6" w:color="1F4E79"/>
          <w:left w:val="single" w:sz="6" w:space="6" w:color="1F4E79"/>
          <w:bottom w:val="single" w:sz="6" w:space="6" w:color="1F4E79"/>
          <w:right w:val="single" w:sz="6" w:space="6" w:color="1F4E79"/>
        </w:pBdr>
      </w:pPr>
      <w:r>
        <w:rPr>
          <w:rFonts w:ascii="Times New Roman" w:hAnsi="Times New Roman" w:eastAsia="Times New Roman"/>
          <w:b/>
          <w:i w:val="0"/>
          <w:sz w:val="19"/>
        </w:rPr>
        <w:t>Results.</w:t>
      </w:r>
      <w:r>
        <w:rPr>
          <w:rFonts w:ascii="Times New Roman" w:hAnsi="Times New Roman" w:eastAsia="Times New Roman"/>
          <w:b w:val="0"/>
          <w:i w:val="0"/>
          <w:sz w:val="19"/>
        </w:rPr>
        <w:t xml:space="preserve"> Readers differed markedly: of cells that at least one other reader marked, annotator_1 marked 69 percent and annotator_4 41 percent; for lesion cells the figures were 45 and 19 percent, against 62 to 82 percent for non-lesion cells. Between 47 and 70 percent of solo marks scored as cell-like, against 4 percent of background. Corrections using reader identity or a constant rate lowered lesion average precision by 0.016 to 0.030 under the two-reader reference; a correction using predicted class and a density proxy was not distinguishable from naive training (+0.019 [-0.003, +0.049] with ResNet18; +0.005 [-0.017, +0.028] with DINOv2-small). Combining confidence with predicted reader agreement lowered error among accepted cells by 0.016 [0.011 to 0.022] at 50 percent coverage, against a reference defined by the same readers.</w:t>
      </w:r>
    </w:p>
    <w:p>
      <w:pPr>
        <w:keepNext w:val="0"/>
        <w:spacing w:before="0" w:after="0"/>
        <w:ind w:left="144" w:right="144"/>
        <w:jc w:val="both"/>
        <w:pBdr>
          <w:top w:val="single" w:sz="6" w:space="6" w:color="1F4E79"/>
          <w:left w:val="single" w:sz="6" w:space="6" w:color="1F4E79"/>
          <w:bottom w:val="single" w:sz="6" w:space="6" w:color="1F4E79"/>
          <w:right w:val="single" w:sz="6" w:space="6" w:color="1F4E79"/>
        </w:pBdr>
      </w:pPr>
      <w:r>
        <w:rPr>
          <w:rFonts w:ascii="Times New Roman" w:hAnsi="Times New Roman" w:eastAsia="Times New Roman"/>
          <w:b/>
          <w:i w:val="0"/>
          <w:sz w:val="19"/>
        </w:rPr>
        <w:t>Conclusions.</w:t>
      </w:r>
      <w:r>
        <w:rPr>
          <w:rFonts w:ascii="Times New Roman" w:hAnsi="Times New Roman" w:eastAsia="Times New Roman"/>
          <w:b w:val="0"/>
          <w:i w:val="0"/>
          <w:sz w:val="19"/>
        </w:rPr>
        <w:t xml:space="preserve"> Reader selectivity in RIVA depends on cell class and density, contradicting an equal-expertise assumption, but simple propensity corrections did not reliably help a linear detector on frozen features. We report this as a negative result with the limitations of a small, single-source dataset.</w:t>
      </w:r>
    </w:p>
    <w:p>
      <w:pPr>
        <w:keepNext w:val="0"/>
        <w:spacing w:before="80" w:after="80"/>
        <w:jc w:val="both"/>
      </w:pPr>
      <w:r>
        <w:rPr>
          <w:rFonts w:ascii="Times New Roman" w:hAnsi="Times New Roman" w:eastAsia="Times New Roman"/>
          <w:b/>
          <w:i w:val="0"/>
          <w:color w:val="1F4E79"/>
          <w:sz w:val="19"/>
        </w:rPr>
        <w:t>Categories:</w:t>
      </w:r>
      <w:r>
        <w:rPr>
          <w:rFonts w:ascii="Times New Roman" w:hAnsi="Times New Roman" w:eastAsia="Times New Roman"/>
          <w:sz w:val="19"/>
        </w:rPr>
        <w:t xml:space="preserve"> Artificial Intelligence, Medical Imaging, Pathology, Cytology, Obstetrics and Gynaecology</w:t>
      </w:r>
    </w:p>
    <w:p>
      <w:pPr>
        <w:keepNext w:val="0"/>
        <w:spacing w:before="80" w:after="80"/>
        <w:jc w:val="both"/>
      </w:pPr>
      <w:r>
        <w:rPr>
          <w:rFonts w:ascii="Times New Roman" w:hAnsi="Times New Roman" w:eastAsia="Times New Roman"/>
          <w:b/>
          <w:i w:val="0"/>
          <w:color w:val="1F4E79"/>
          <w:sz w:val="19"/>
        </w:rPr>
        <w:t>Keywords:</w:t>
      </w:r>
      <w:r>
        <w:rPr>
          <w:rFonts w:ascii="Times New Roman" w:hAnsi="Times New Roman" w:eastAsia="Times New Roman"/>
          <w:sz w:val="19"/>
        </w:rPr>
        <w:t xml:space="preserve"> cervical cytology, Pap smear, inter-observer variability, multi-reader annotation, positive-unlabelled learning, annotation noise, deferral, RIVA dataset</w:t>
      </w:r>
    </w:p>
    <w:p>
      <w:pPr>
        <w:keepNext/>
        <w:spacing w:before="200" w:after="120"/>
        <w:ind w:left="115"/>
        <w:jc w:val="left"/>
        <w:shd w:val="clear" w:color="auto" w:fill="EAF1F8"/>
        <w:pBdr>
          <w:left w:val="single" w:sz="36" w:space="6" w:color="1F4E79"/>
        </w:pBdr>
      </w:pPr>
      <w:r>
        <w:rPr>
          <w:rFonts w:ascii="Times New Roman" w:hAnsi="Times New Roman" w:eastAsia="Times New Roman"/>
          <w:b/>
          <w:i w:val="0"/>
          <w:color w:val="1F4E79"/>
          <w:sz w:val="22"/>
        </w:rPr>
        <w:t>1 INTRODUCTION</w:t>
      </w:r>
    </w:p>
    <w:p>
      <w:pPr>
        <w:keepNext w:val="0"/>
        <w:spacing w:before="0" w:after="120"/>
        <w:jc w:val="both"/>
      </w:pPr>
      <w:r>
        <w:rPr>
          <w:rFonts w:ascii="Times New Roman" w:hAnsi="Times New Roman" w:eastAsia="Times New Roman"/>
          <w:b w:val="0"/>
          <w:i w:val="0"/>
          <w:sz w:val="20"/>
        </w:rPr>
        <w:t>Cervical cytology screening depends on pathologists identifying abnormal cells in Pap-smear images, and automated detection of those cells is an active research area. Training such detectors needs cell-level labels, which are costly to obtain and vary between readers. Many public datasets are labelled by one reader, or by a consensus whose construction is not documented in a form that lets others examine individual readers.</w:t>
      </w:r>
    </w:p>
    <w:p>
      <w:pPr>
        <w:keepNext w:val="0"/>
        <w:spacing w:before="0" w:after="120"/>
        <w:jc w:val="both"/>
      </w:pPr>
      <w:r>
        <w:rPr>
          <w:rFonts w:ascii="Times New Roman" w:hAnsi="Times New Roman" w:eastAsia="Times New Roman"/>
          <w:b w:val="0"/>
          <w:i w:val="0"/>
          <w:sz w:val="20"/>
        </w:rPr>
        <w:t>A common modelling choice is to treat any cell that a reader did not mark as a negative example. If readers mark only a subset of the cells they could mark, this choice teaches the detector that some real cells are background. The size of that effect depends on how readers choose what to mark, and that choice is rarely measured.</w:t>
      </w:r>
    </w:p>
    <w:p>
      <w:pPr>
        <w:keepNext w:val="0"/>
        <w:spacing w:before="0" w:after="120"/>
        <w:jc w:val="both"/>
      </w:pPr>
      <w:r>
        <w:rPr>
          <w:rFonts w:ascii="Times New Roman" w:hAnsi="Times New Roman" w:eastAsia="Times New Roman"/>
          <w:b w:val="0"/>
          <w:i w:val="0"/>
          <w:sz w:val="20"/>
        </w:rPr>
        <w:t>RIVA, a recent open dataset of conventional Pap-smear patches, provides a rare opportunity: a subset of its patches was annotated independently by four cytopathologists, and a larger subset by one of the same four [1]. The dataset paper models agreement under the assumption that all pathologists share the same level of expertise.</w:t>
      </w:r>
    </w:p>
    <w:p>
      <w:pPr>
        <w:keepNext w:val="0"/>
        <w:spacing w:before="0" w:after="120"/>
        <w:jc w:val="both"/>
      </w:pPr>
      <w:r>
        <w:rPr>
          <w:rFonts w:ascii="Times New Roman" w:hAnsi="Times New Roman" w:eastAsia="Times New Roman"/>
          <w:b w:val="0"/>
          <w:i w:val="0"/>
          <w:sz w:val="20"/>
        </w:rPr>
        <w:t>This paper asks three questions of the RIVA annotations. (1) How do the four readers differ in which cells they mark, and does that depend on the cell's class and on local density? (2) Does training on single-reader labels lose detection performance for lesion cells compared with training on multi-reader consensus, and can propensity-weighted positive-unlabelled corrections recover it? (3) Is a head trained on the share of readers who marked a cell a better deferral signal than model confidence?</w:t>
      </w:r>
    </w:p>
    <w:p>
      <w:pPr>
        <w:keepNext w:val="0"/>
        <w:spacing w:before="0" w:after="120"/>
        <w:jc w:val="both"/>
      </w:pPr>
      <w:r>
        <w:rPr>
          <w:rFonts w:ascii="Times New Roman" w:hAnsi="Times New Roman" w:eastAsia="Times New Roman"/>
          <w:b w:val="0"/>
          <w:i w:val="0"/>
          <w:sz w:val="20"/>
        </w:rPr>
        <w:t>We report that reader selectivity depends strongly on class and density, that about half to two thirds of solo marks sit on cell-like objects, that reader-identity corrections reduced lesion average precision, that a class-aware correction using only available information was not distinguishable from naive training, and that a graded-agreement deferral signal gave a small gain against a reference that is partly circular. The contribution is a documented characterisation of reader behaviour in a new public dataset and a negative result for a plausible correction, not a new detector.</w:t>
      </w:r>
    </w:p>
    <w:p>
      <w:pPr>
        <w:keepNext/>
        <w:spacing w:before="200" w:after="120"/>
        <w:ind w:left="115"/>
        <w:jc w:val="left"/>
        <w:shd w:val="clear" w:color="auto" w:fill="EAF1F8"/>
        <w:pBdr>
          <w:left w:val="single" w:sz="36" w:space="6" w:color="1F4E79"/>
        </w:pBdr>
      </w:pPr>
      <w:r>
        <w:rPr>
          <w:rFonts w:ascii="Times New Roman" w:hAnsi="Times New Roman" w:eastAsia="Times New Roman"/>
          <w:b/>
          <w:i w:val="0"/>
          <w:color w:val="1F4E79"/>
          <w:sz w:val="22"/>
        </w:rPr>
        <w:t>2 RELATED WORKS</w:t>
      </w:r>
    </w:p>
    <w:p>
      <w:pPr>
        <w:keepNext w:val="0"/>
        <w:spacing w:before="0" w:after="120"/>
        <w:jc w:val="both"/>
      </w:pPr>
      <w:r>
        <w:rPr>
          <w:rFonts w:ascii="Times New Roman" w:hAnsi="Times New Roman" w:eastAsia="Times New Roman"/>
          <w:b/>
          <w:i w:val="0"/>
          <w:sz w:val="20"/>
        </w:rPr>
        <w:t>Annotator models.</w:t>
      </w:r>
      <w:r>
        <w:rPr>
          <w:rFonts w:ascii="Times New Roman" w:hAnsi="Times New Roman" w:eastAsia="Times New Roman"/>
          <w:b w:val="0"/>
          <w:i w:val="0"/>
          <w:sz w:val="20"/>
        </w:rPr>
        <w:t xml:space="preserve"> Estimating annotator reliability and a latent truth from several noisy labellers has a long history [2,3]. Yan et al. [4] let annotator accuracy depend on the input, and Tanno et al. [5] estimate annotator confusion matrices jointly with the classifier. These methods were developed for classification labels; our setting has point annotations and an unobserved set of cells that readers could have marked.</w:t>
      </w:r>
    </w:p>
    <w:p>
      <w:pPr>
        <w:keepNext w:val="0"/>
        <w:spacing w:before="0" w:after="120"/>
        <w:jc w:val="both"/>
      </w:pPr>
      <w:r>
        <w:rPr>
          <w:rFonts w:ascii="Times New Roman" w:hAnsi="Times New Roman" w:eastAsia="Times New Roman"/>
          <w:b/>
          <w:i w:val="0"/>
          <w:sz w:val="20"/>
        </w:rPr>
        <w:t>Incomplete annotations in detection.</w:t>
      </w:r>
      <w:r>
        <w:rPr>
          <w:rFonts w:ascii="Times New Roman" w:hAnsi="Times New Roman" w:eastAsia="Times New Roman"/>
          <w:b w:val="0"/>
          <w:i w:val="0"/>
          <w:sz w:val="20"/>
        </w:rPr>
        <w:t xml:space="preserve"> Treating unannotated regions as unlabelled rather than negative is the positive-unlabelled view of detection [6], applied to cell detection in histopathology by Zhao et al. [7]. Bekker et al. [8] formalise labelling propensities that depend on covariates. In cervical cytology, methods address incomplete cell labels with slide-level supervision and pseudo-labelling (for example Li et al. [9]).</w:t>
      </w:r>
    </w:p>
    <w:p>
      <w:pPr>
        <w:keepNext w:val="0"/>
        <w:spacing w:before="0" w:after="120"/>
        <w:jc w:val="both"/>
      </w:pPr>
      <w:r>
        <w:rPr>
          <w:rFonts w:ascii="Times New Roman" w:hAnsi="Times New Roman" w:eastAsia="Times New Roman"/>
          <w:b/>
          <w:i w:val="0"/>
          <w:sz w:val="20"/>
        </w:rPr>
        <w:t>Multiple readers in pathology.</w:t>
      </w:r>
      <w:r>
        <w:rPr>
          <w:rFonts w:ascii="Times New Roman" w:hAnsi="Times New Roman" w:eastAsia="Times New Roman"/>
          <w:b w:val="0"/>
          <w:i w:val="0"/>
          <w:sz w:val="20"/>
        </w:rPr>
        <w:t xml:space="preserve"> Variability Matters [10] studied 120 pathologists and scored annotator conformity on a control set; repeated labelling with expectation-maximisation aggregation has been applied to object detection [11]. Most pipelines resolve disagreement by consensus before training.</w:t>
      </w:r>
    </w:p>
    <w:p>
      <w:pPr>
        <w:keepNext w:val="0"/>
        <w:spacing w:before="0" w:after="120"/>
        <w:jc w:val="both"/>
      </w:pPr>
      <w:r>
        <w:rPr>
          <w:rFonts w:ascii="Times New Roman" w:hAnsi="Times New Roman" w:eastAsia="Times New Roman"/>
          <w:b/>
          <w:i w:val="0"/>
          <w:sz w:val="20"/>
        </w:rPr>
        <w:t>Cervical cytology datasets.</w:t>
      </w:r>
      <w:r>
        <w:rPr>
          <w:rFonts w:ascii="Times New Roman" w:hAnsi="Times New Roman" w:eastAsia="Times New Roman"/>
          <w:b w:val="0"/>
          <w:i w:val="0"/>
          <w:sz w:val="20"/>
        </w:rPr>
        <w:t xml:space="preserve"> RIVA adds multi-reader point annotations on conventional smears [1]; an ISBI 2026 challenge used it for detection and eight-class classification, and participant reports focus on detector design (for example Kogan and Rios [12]). We found no prior analysis of individual reader behaviour in RIVA.</w:t>
      </w:r>
    </w:p>
    <w:p>
      <w:pPr>
        <w:keepNext w:val="0"/>
        <w:spacing w:before="0" w:after="120"/>
        <w:jc w:val="both"/>
      </w:pPr>
      <w:r>
        <w:rPr>
          <w:rFonts w:ascii="Times New Roman" w:hAnsi="Times New Roman" w:eastAsia="Times New Roman"/>
          <w:b w:val="0"/>
          <w:i w:val="0"/>
          <w:sz w:val="20"/>
        </w:rPr>
        <w:t>Our contribution sits between these threads: we apply reader-behaviour analysis and a propensity-weighted correction in a dataset with known reader identities, and report that the correction did not reliably help.</w:t>
      </w:r>
    </w:p>
    <w:p>
      <w:pPr>
        <w:keepNext/>
        <w:spacing w:before="120" w:after="60"/>
        <w:jc w:val="left"/>
      </w:pPr>
      <w:r>
        <w:rPr>
          <w:rFonts w:ascii="Times New Roman" w:hAnsi="Times New Roman" w:eastAsia="Times New Roman"/>
          <w:b/>
          <w:i w:val="0"/>
          <w:color w:val="1F4E79"/>
          <w:sz w:val="17"/>
        </w:rPr>
        <w:t>Table 1. Summary of reviewed studies.</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2412"/>
            <w:shd w:val="clear" w:color="auto" w:fill="1F4E79"/>
          </w:tcPr>
          <w:p>
            <w:pPr>
              <w:spacing w:after="20" w:before="20"/>
              <w:jc w:val="left"/>
            </w:pPr>
            <w:r/>
            <w:r>
              <w:rPr>
                <w:rFonts w:ascii="Times New Roman" w:hAnsi="Times New Roman" w:eastAsia="Times New Roman"/>
                <w:b/>
                <w:i w:val="0"/>
                <w:color w:val="FFFFFF"/>
                <w:sz w:val="17"/>
              </w:rPr>
              <w:t>Study</w:t>
            </w:r>
          </w:p>
        </w:tc>
        <w:tc>
          <w:tcPr>
            <w:tcW w:type="dxa" w:w="2412"/>
            <w:shd w:val="clear" w:color="auto" w:fill="1F4E79"/>
          </w:tcPr>
          <w:p>
            <w:pPr>
              <w:spacing w:after="20" w:before="20"/>
              <w:jc w:val="left"/>
            </w:pPr>
            <w:r/>
            <w:r>
              <w:rPr>
                <w:rFonts w:ascii="Times New Roman" w:hAnsi="Times New Roman" w:eastAsia="Times New Roman"/>
                <w:b/>
                <w:i w:val="0"/>
                <w:color w:val="FFFFFF"/>
                <w:sz w:val="17"/>
              </w:rPr>
              <w:t>Approach</w:t>
            </w:r>
          </w:p>
        </w:tc>
        <w:tc>
          <w:tcPr>
            <w:tcW w:type="dxa" w:w="2412"/>
            <w:shd w:val="clear" w:color="auto" w:fill="1F4E79"/>
          </w:tcPr>
          <w:p>
            <w:pPr>
              <w:spacing w:after="20" w:before="20"/>
              <w:jc w:val="left"/>
            </w:pPr>
            <w:r/>
            <w:r>
              <w:rPr>
                <w:rFonts w:ascii="Times New Roman" w:hAnsi="Times New Roman" w:eastAsia="Times New Roman"/>
                <w:b/>
                <w:i w:val="0"/>
                <w:color w:val="FFFFFF"/>
                <w:sz w:val="17"/>
              </w:rPr>
              <w:t>Setting</w:t>
            </w:r>
          </w:p>
        </w:tc>
        <w:tc>
          <w:tcPr>
            <w:tcW w:type="dxa" w:w="2412"/>
            <w:shd w:val="clear" w:color="auto" w:fill="1F4E79"/>
          </w:tcPr>
          <w:p>
            <w:pPr>
              <w:spacing w:after="20" w:before="20"/>
              <w:jc w:val="left"/>
            </w:pPr>
            <w:r/>
            <w:r>
              <w:rPr>
                <w:rFonts w:ascii="Times New Roman" w:hAnsi="Times New Roman" w:eastAsia="Times New Roman"/>
                <w:b/>
                <w:i w:val="0"/>
                <w:color w:val="FFFFFF"/>
                <w:sz w:val="17"/>
              </w:rPr>
              <w:t>Limitation for the present question</w:t>
            </w:r>
          </w:p>
        </w:tc>
      </w:tr>
      <w:tr>
        <w:tc>
          <w:tcPr>
            <w:tcW w:type="dxa" w:w="2412"/>
          </w:tcPr>
          <w:p>
            <w:pPr>
              <w:spacing w:after="20" w:before="20"/>
              <w:jc w:val="left"/>
            </w:pPr>
            <w:r/>
            <w:r>
              <w:rPr>
                <w:rFonts w:ascii="Times New Roman" w:hAnsi="Times New Roman" w:eastAsia="Times New Roman"/>
                <w:b w:val="0"/>
                <w:i w:val="0"/>
                <w:sz w:val="17"/>
              </w:rPr>
              <w:t>Dawid and Skene [2]</w:t>
            </w:r>
          </w:p>
        </w:tc>
        <w:tc>
          <w:tcPr>
            <w:tcW w:type="dxa" w:w="2412"/>
          </w:tcPr>
          <w:p>
            <w:pPr>
              <w:spacing w:after="20" w:before="20"/>
              <w:jc w:val="left"/>
            </w:pPr>
            <w:r/>
            <w:r>
              <w:rPr>
                <w:rFonts w:ascii="Times New Roman" w:hAnsi="Times New Roman" w:eastAsia="Times New Roman"/>
                <w:b w:val="0"/>
                <w:i w:val="0"/>
                <w:sz w:val="17"/>
              </w:rPr>
              <w:t>EM estimate of observer error rates and latent truth</w:t>
            </w:r>
          </w:p>
        </w:tc>
        <w:tc>
          <w:tcPr>
            <w:tcW w:type="dxa" w:w="2412"/>
          </w:tcPr>
          <w:p>
            <w:pPr>
              <w:spacing w:after="20" w:before="20"/>
              <w:jc w:val="left"/>
            </w:pPr>
            <w:r/>
            <w:r>
              <w:rPr>
                <w:rFonts w:ascii="Times New Roman" w:hAnsi="Times New Roman" w:eastAsia="Times New Roman"/>
                <w:b w:val="0"/>
                <w:i w:val="0"/>
                <w:sz w:val="17"/>
              </w:rPr>
              <w:t>Categorical labels from several observers</w:t>
            </w:r>
          </w:p>
        </w:tc>
        <w:tc>
          <w:tcPr>
            <w:tcW w:type="dxa" w:w="2412"/>
          </w:tcPr>
          <w:p>
            <w:pPr>
              <w:spacing w:after="20" w:before="20"/>
              <w:jc w:val="left"/>
            </w:pPr>
            <w:r/>
            <w:r>
              <w:rPr>
                <w:rFonts w:ascii="Times New Roman" w:hAnsi="Times New Roman" w:eastAsia="Times New Roman"/>
                <w:b w:val="0"/>
                <w:i w:val="0"/>
                <w:sz w:val="17"/>
              </w:rPr>
              <w:t>No point labels; observers assumed independent given the truth</w:t>
            </w:r>
          </w:p>
        </w:tc>
      </w:tr>
      <w:tr>
        <w:tc>
          <w:tcPr>
            <w:tcW w:type="dxa" w:w="2412"/>
            <w:shd w:val="clear" w:color="auto" w:fill="F3F7FB"/>
          </w:tcPr>
          <w:p>
            <w:pPr>
              <w:spacing w:after="20" w:before="20"/>
              <w:jc w:val="left"/>
            </w:pPr>
            <w:r/>
            <w:r>
              <w:rPr>
                <w:rFonts w:ascii="Times New Roman" w:hAnsi="Times New Roman" w:eastAsia="Times New Roman"/>
                <w:b w:val="0"/>
                <w:i w:val="0"/>
                <w:sz w:val="17"/>
              </w:rPr>
              <w:t>Raykar et al. [3]</w:t>
            </w:r>
          </w:p>
        </w:tc>
        <w:tc>
          <w:tcPr>
            <w:tcW w:type="dxa" w:w="2412"/>
            <w:shd w:val="clear" w:color="auto" w:fill="F3F7FB"/>
          </w:tcPr>
          <w:p>
            <w:pPr>
              <w:spacing w:after="20" w:before="20"/>
              <w:jc w:val="left"/>
            </w:pPr>
            <w:r/>
            <w:r>
              <w:rPr>
                <w:rFonts w:ascii="Times New Roman" w:hAnsi="Times New Roman" w:eastAsia="Times New Roman"/>
                <w:b w:val="0"/>
                <w:i w:val="0"/>
                <w:sz w:val="17"/>
              </w:rPr>
              <w:t>Joint classifier and annotator sensitivity and specificity</w:t>
            </w:r>
          </w:p>
        </w:tc>
        <w:tc>
          <w:tcPr>
            <w:tcW w:type="dxa" w:w="2412"/>
            <w:shd w:val="clear" w:color="auto" w:fill="F3F7FB"/>
          </w:tcPr>
          <w:p>
            <w:pPr>
              <w:spacing w:after="20" w:before="20"/>
              <w:jc w:val="left"/>
            </w:pPr>
            <w:r/>
            <w:r>
              <w:rPr>
                <w:rFonts w:ascii="Times New Roman" w:hAnsi="Times New Roman" w:eastAsia="Times New Roman"/>
                <w:b w:val="0"/>
                <w:i w:val="0"/>
                <w:sz w:val="17"/>
              </w:rPr>
              <w:t>Crowd labels, including medical images</w:t>
            </w:r>
          </w:p>
        </w:tc>
        <w:tc>
          <w:tcPr>
            <w:tcW w:type="dxa" w:w="2412"/>
            <w:shd w:val="clear" w:color="auto" w:fill="F3F7FB"/>
          </w:tcPr>
          <w:p>
            <w:pPr>
              <w:spacing w:after="20" w:before="20"/>
              <w:jc w:val="left"/>
            </w:pPr>
            <w:r/>
            <w:r>
              <w:rPr>
                <w:rFonts w:ascii="Times New Roman" w:hAnsi="Times New Roman" w:eastAsia="Times New Roman"/>
                <w:b w:val="0"/>
                <w:i w:val="0"/>
                <w:sz w:val="17"/>
              </w:rPr>
              <w:t>Per-annotator rates do not depend on class or density</w:t>
            </w:r>
          </w:p>
        </w:tc>
      </w:tr>
      <w:tr>
        <w:tc>
          <w:tcPr>
            <w:tcW w:type="dxa" w:w="2412"/>
          </w:tcPr>
          <w:p>
            <w:pPr>
              <w:spacing w:after="20" w:before="20"/>
              <w:jc w:val="left"/>
            </w:pPr>
            <w:r/>
            <w:r>
              <w:rPr>
                <w:rFonts w:ascii="Times New Roman" w:hAnsi="Times New Roman" w:eastAsia="Times New Roman"/>
                <w:b w:val="0"/>
                <w:i w:val="0"/>
                <w:sz w:val="17"/>
              </w:rPr>
              <w:t>Yan et al. [4]</w:t>
            </w:r>
          </w:p>
        </w:tc>
        <w:tc>
          <w:tcPr>
            <w:tcW w:type="dxa" w:w="2412"/>
          </w:tcPr>
          <w:p>
            <w:pPr>
              <w:spacing w:after="20" w:before="20"/>
              <w:jc w:val="left"/>
            </w:pPr>
            <w:r/>
            <w:r>
              <w:rPr>
                <w:rFonts w:ascii="Times New Roman" w:hAnsi="Times New Roman" w:eastAsia="Times New Roman"/>
                <w:b w:val="0"/>
                <w:i w:val="0"/>
                <w:sz w:val="17"/>
              </w:rPr>
              <w:t>Annotator accuracy depends on the input</w:t>
            </w:r>
          </w:p>
        </w:tc>
        <w:tc>
          <w:tcPr>
            <w:tcW w:type="dxa" w:w="2412"/>
          </w:tcPr>
          <w:p>
            <w:pPr>
              <w:spacing w:after="20" w:before="20"/>
              <w:jc w:val="left"/>
            </w:pPr>
            <w:r/>
            <w:r>
              <w:rPr>
                <w:rFonts w:ascii="Times New Roman" w:hAnsi="Times New Roman" w:eastAsia="Times New Roman"/>
                <w:b w:val="0"/>
                <w:i w:val="0"/>
                <w:sz w:val="17"/>
              </w:rPr>
              <w:t>Classification with several annotators</w:t>
            </w:r>
          </w:p>
        </w:tc>
        <w:tc>
          <w:tcPr>
            <w:tcW w:type="dxa" w:w="2412"/>
          </w:tcPr>
          <w:p>
            <w:pPr>
              <w:spacing w:after="20" w:before="20"/>
              <w:jc w:val="left"/>
            </w:pPr>
            <w:r/>
            <w:r>
              <w:rPr>
                <w:rFonts w:ascii="Times New Roman" w:hAnsi="Times New Roman" w:eastAsia="Times New Roman"/>
                <w:b w:val="0"/>
                <w:i w:val="0"/>
                <w:sz w:val="17"/>
              </w:rPr>
              <w:t>Not a detection or point-annotation setting</w:t>
            </w:r>
          </w:p>
        </w:tc>
      </w:tr>
      <w:tr>
        <w:tc>
          <w:tcPr>
            <w:tcW w:type="dxa" w:w="2412"/>
            <w:shd w:val="clear" w:color="auto" w:fill="F3F7FB"/>
          </w:tcPr>
          <w:p>
            <w:pPr>
              <w:spacing w:after="20" w:before="20"/>
              <w:jc w:val="left"/>
            </w:pPr>
            <w:r/>
            <w:r>
              <w:rPr>
                <w:rFonts w:ascii="Times New Roman" w:hAnsi="Times New Roman" w:eastAsia="Times New Roman"/>
                <w:b w:val="0"/>
                <w:i w:val="0"/>
                <w:sz w:val="17"/>
              </w:rPr>
              <w:t>Tanno et al. [5]</w:t>
            </w:r>
          </w:p>
        </w:tc>
        <w:tc>
          <w:tcPr>
            <w:tcW w:type="dxa" w:w="2412"/>
            <w:shd w:val="clear" w:color="auto" w:fill="F3F7FB"/>
          </w:tcPr>
          <w:p>
            <w:pPr>
              <w:spacing w:after="20" w:before="20"/>
              <w:jc w:val="left"/>
            </w:pPr>
            <w:r/>
            <w:r>
              <w:rPr>
                <w:rFonts w:ascii="Times New Roman" w:hAnsi="Times New Roman" w:eastAsia="Times New Roman"/>
                <w:b w:val="0"/>
                <w:i w:val="0"/>
                <w:sz w:val="17"/>
              </w:rPr>
              <w:t>Annotator confusion matrices estimated with the classifier</w:t>
            </w:r>
          </w:p>
        </w:tc>
        <w:tc>
          <w:tcPr>
            <w:tcW w:type="dxa" w:w="2412"/>
            <w:shd w:val="clear" w:color="auto" w:fill="F3F7FB"/>
          </w:tcPr>
          <w:p>
            <w:pPr>
              <w:spacing w:after="20" w:before="20"/>
              <w:jc w:val="left"/>
            </w:pPr>
            <w:r/>
            <w:r>
              <w:rPr>
                <w:rFonts w:ascii="Times New Roman" w:hAnsi="Times New Roman" w:eastAsia="Times New Roman"/>
                <w:b w:val="0"/>
                <w:i w:val="0"/>
                <w:sz w:val="17"/>
              </w:rPr>
              <w:t>Image classification with noisy labels</w:t>
            </w:r>
          </w:p>
        </w:tc>
        <w:tc>
          <w:tcPr>
            <w:tcW w:type="dxa" w:w="2412"/>
            <w:shd w:val="clear" w:color="auto" w:fill="F3F7FB"/>
          </w:tcPr>
          <w:p>
            <w:pPr>
              <w:spacing w:after="20" w:before="20"/>
              <w:jc w:val="left"/>
            </w:pPr>
            <w:r/>
            <w:r>
              <w:rPr>
                <w:rFonts w:ascii="Times New Roman" w:hAnsi="Times New Roman" w:eastAsia="Times New Roman"/>
                <w:b w:val="0"/>
                <w:i w:val="0"/>
                <w:sz w:val="17"/>
              </w:rPr>
              <w:t>Classification labels only</w:t>
            </w:r>
          </w:p>
        </w:tc>
      </w:tr>
      <w:tr>
        <w:tc>
          <w:tcPr>
            <w:tcW w:type="dxa" w:w="2412"/>
          </w:tcPr>
          <w:p>
            <w:pPr>
              <w:spacing w:after="20" w:before="20"/>
              <w:jc w:val="left"/>
            </w:pPr>
            <w:r/>
            <w:r>
              <w:rPr>
                <w:rFonts w:ascii="Times New Roman" w:hAnsi="Times New Roman" w:eastAsia="Times New Roman"/>
                <w:b w:val="0"/>
                <w:i w:val="0"/>
                <w:sz w:val="17"/>
              </w:rPr>
              <w:t>Yang et al. [6]</w:t>
            </w:r>
          </w:p>
        </w:tc>
        <w:tc>
          <w:tcPr>
            <w:tcW w:type="dxa" w:w="2412"/>
          </w:tcPr>
          <w:p>
            <w:pPr>
              <w:spacing w:after="20" w:before="20"/>
              <w:jc w:val="left"/>
            </w:pPr>
            <w:r/>
            <w:r>
              <w:rPr>
                <w:rFonts w:ascii="Times New Roman" w:hAnsi="Times New Roman" w:eastAsia="Times New Roman"/>
                <w:b w:val="0"/>
                <w:i w:val="0"/>
                <w:sz w:val="17"/>
              </w:rPr>
              <w:t>Unannotated regions treated as unlabelled in detection</w:t>
            </w:r>
          </w:p>
        </w:tc>
        <w:tc>
          <w:tcPr>
            <w:tcW w:type="dxa" w:w="2412"/>
          </w:tcPr>
          <w:p>
            <w:pPr>
              <w:spacing w:after="20" w:before="20"/>
              <w:jc w:val="left"/>
            </w:pPr>
            <w:r/>
            <w:r>
              <w:rPr>
                <w:rFonts w:ascii="Times New Roman" w:hAnsi="Times New Roman" w:eastAsia="Times New Roman"/>
                <w:b w:val="0"/>
                <w:i w:val="0"/>
                <w:sz w:val="17"/>
              </w:rPr>
              <w:t>Natural-image detection with missing boxes</w:t>
            </w:r>
          </w:p>
        </w:tc>
        <w:tc>
          <w:tcPr>
            <w:tcW w:type="dxa" w:w="2412"/>
          </w:tcPr>
          <w:p>
            <w:pPr>
              <w:spacing w:after="20" w:before="20"/>
              <w:jc w:val="left"/>
            </w:pPr>
            <w:r/>
            <w:r>
              <w:rPr>
                <w:rFonts w:ascii="Times New Roman" w:hAnsi="Times New Roman" w:eastAsia="Times New Roman"/>
                <w:b w:val="0"/>
                <w:i w:val="0"/>
                <w:sz w:val="17"/>
              </w:rPr>
              <w:t>No reader identities; no medical data</w:t>
            </w:r>
          </w:p>
        </w:tc>
      </w:tr>
      <w:tr>
        <w:tc>
          <w:tcPr>
            <w:tcW w:type="dxa" w:w="2412"/>
            <w:shd w:val="clear" w:color="auto" w:fill="F3F7FB"/>
          </w:tcPr>
          <w:p>
            <w:pPr>
              <w:spacing w:after="20" w:before="20"/>
              <w:jc w:val="left"/>
            </w:pPr>
            <w:r/>
            <w:r>
              <w:rPr>
                <w:rFonts w:ascii="Times New Roman" w:hAnsi="Times New Roman" w:eastAsia="Times New Roman"/>
                <w:b w:val="0"/>
                <w:i w:val="0"/>
                <w:sz w:val="17"/>
              </w:rPr>
              <w:t>Zhao et al. [7]</w:t>
            </w:r>
          </w:p>
        </w:tc>
        <w:tc>
          <w:tcPr>
            <w:tcW w:type="dxa" w:w="2412"/>
            <w:shd w:val="clear" w:color="auto" w:fill="F3F7FB"/>
          </w:tcPr>
          <w:p>
            <w:pPr>
              <w:spacing w:after="20" w:before="20"/>
              <w:jc w:val="left"/>
            </w:pPr>
            <w:r/>
            <w:r>
              <w:rPr>
                <w:rFonts w:ascii="Times New Roman" w:hAnsi="Times New Roman" w:eastAsia="Times New Roman"/>
                <w:b w:val="0"/>
                <w:i w:val="0"/>
                <w:sz w:val="17"/>
              </w:rPr>
              <w:t>Positive-unlabelled cell detection</w:t>
            </w:r>
          </w:p>
        </w:tc>
        <w:tc>
          <w:tcPr>
            <w:tcW w:type="dxa" w:w="2412"/>
            <w:shd w:val="clear" w:color="auto" w:fill="F3F7FB"/>
          </w:tcPr>
          <w:p>
            <w:pPr>
              <w:spacing w:after="20" w:before="20"/>
              <w:jc w:val="left"/>
            </w:pPr>
            <w:r/>
            <w:r>
              <w:rPr>
                <w:rFonts w:ascii="Times New Roman" w:hAnsi="Times New Roman" w:eastAsia="Times New Roman"/>
                <w:b w:val="0"/>
                <w:i w:val="0"/>
                <w:sz w:val="17"/>
              </w:rPr>
              <w:t>Histopathology with incomplete annotations</w:t>
            </w:r>
          </w:p>
        </w:tc>
        <w:tc>
          <w:tcPr>
            <w:tcW w:type="dxa" w:w="2412"/>
            <w:shd w:val="clear" w:color="auto" w:fill="F3F7FB"/>
          </w:tcPr>
          <w:p>
            <w:pPr>
              <w:spacing w:after="20" w:before="20"/>
              <w:jc w:val="left"/>
            </w:pPr>
            <w:r/>
            <w:r>
              <w:rPr>
                <w:rFonts w:ascii="Times New Roman" w:hAnsi="Times New Roman" w:eastAsia="Times New Roman"/>
                <w:b w:val="0"/>
                <w:i w:val="0"/>
                <w:sz w:val="17"/>
              </w:rPr>
              <w:t>One labelling process; no per-reader model</w:t>
            </w:r>
          </w:p>
        </w:tc>
      </w:tr>
      <w:tr>
        <w:tc>
          <w:tcPr>
            <w:tcW w:type="dxa" w:w="2412"/>
          </w:tcPr>
          <w:p>
            <w:pPr>
              <w:spacing w:after="20" w:before="20"/>
              <w:jc w:val="left"/>
            </w:pPr>
            <w:r/>
            <w:r>
              <w:rPr>
                <w:rFonts w:ascii="Times New Roman" w:hAnsi="Times New Roman" w:eastAsia="Times New Roman"/>
                <w:b w:val="0"/>
                <w:i w:val="0"/>
                <w:sz w:val="17"/>
              </w:rPr>
              <w:t>Bekker et al. [8]</w:t>
            </w:r>
          </w:p>
        </w:tc>
        <w:tc>
          <w:tcPr>
            <w:tcW w:type="dxa" w:w="2412"/>
          </w:tcPr>
          <w:p>
            <w:pPr>
              <w:spacing w:after="20" w:before="20"/>
              <w:jc w:val="left"/>
            </w:pPr>
            <w:r/>
            <w:r>
              <w:rPr>
                <w:rFonts w:ascii="Times New Roman" w:hAnsi="Times New Roman" w:eastAsia="Times New Roman"/>
                <w:b w:val="0"/>
                <w:i w:val="0"/>
                <w:sz w:val="17"/>
              </w:rPr>
              <w:t>Labelling propensity depends on covariates</w:t>
            </w:r>
          </w:p>
        </w:tc>
        <w:tc>
          <w:tcPr>
            <w:tcW w:type="dxa" w:w="2412"/>
          </w:tcPr>
          <w:p>
            <w:pPr>
              <w:spacing w:after="20" w:before="20"/>
              <w:jc w:val="left"/>
            </w:pPr>
            <w:r/>
            <w:r>
              <w:rPr>
                <w:rFonts w:ascii="Times New Roman" w:hAnsi="Times New Roman" w:eastAsia="Times New Roman"/>
                <w:b w:val="0"/>
                <w:i w:val="0"/>
                <w:sz w:val="17"/>
              </w:rPr>
              <w:t>Positive-unlabelled classification</w:t>
            </w:r>
          </w:p>
        </w:tc>
        <w:tc>
          <w:tcPr>
            <w:tcW w:type="dxa" w:w="2412"/>
          </w:tcPr>
          <w:p>
            <w:pPr>
              <w:spacing w:after="20" w:before="20"/>
              <w:jc w:val="left"/>
            </w:pPr>
            <w:r/>
            <w:r>
              <w:rPr>
                <w:rFonts w:ascii="Times New Roman" w:hAnsi="Times New Roman" w:eastAsia="Times New Roman"/>
                <w:b w:val="0"/>
                <w:i w:val="0"/>
                <w:sz w:val="17"/>
              </w:rPr>
              <w:t>Propensity must be known or estimated; not detection</w:t>
            </w:r>
          </w:p>
        </w:tc>
      </w:tr>
      <w:tr>
        <w:tc>
          <w:tcPr>
            <w:tcW w:type="dxa" w:w="2412"/>
            <w:shd w:val="clear" w:color="auto" w:fill="F3F7FB"/>
          </w:tcPr>
          <w:p>
            <w:pPr>
              <w:spacing w:after="20" w:before="20"/>
              <w:jc w:val="left"/>
            </w:pPr>
            <w:r/>
            <w:r>
              <w:rPr>
                <w:rFonts w:ascii="Times New Roman" w:hAnsi="Times New Roman" w:eastAsia="Times New Roman"/>
                <w:b w:val="0"/>
                <w:i w:val="0"/>
                <w:sz w:val="17"/>
              </w:rPr>
              <w:t>Kang et al. [10]</w:t>
            </w:r>
          </w:p>
        </w:tc>
        <w:tc>
          <w:tcPr>
            <w:tcW w:type="dxa" w:w="2412"/>
            <w:shd w:val="clear" w:color="auto" w:fill="F3F7FB"/>
          </w:tcPr>
          <w:p>
            <w:pPr>
              <w:spacing w:after="20" w:before="20"/>
              <w:jc w:val="left"/>
            </w:pPr>
            <w:r/>
            <w:r>
              <w:rPr>
                <w:rFonts w:ascii="Times New Roman" w:hAnsi="Times New Roman" w:eastAsia="Times New Roman"/>
                <w:b w:val="0"/>
                <w:i w:val="0"/>
                <w:sz w:val="17"/>
              </w:rPr>
              <w:t>Annotator conformity scored on a control set</w:t>
            </w:r>
          </w:p>
        </w:tc>
        <w:tc>
          <w:tcPr>
            <w:tcW w:type="dxa" w:w="2412"/>
            <w:shd w:val="clear" w:color="auto" w:fill="F3F7FB"/>
          </w:tcPr>
          <w:p>
            <w:pPr>
              <w:spacing w:after="20" w:before="20"/>
              <w:jc w:val="left"/>
            </w:pPr>
            <w:r/>
            <w:r>
              <w:rPr>
                <w:rFonts w:ascii="Times New Roman" w:hAnsi="Times New Roman" w:eastAsia="Times New Roman"/>
                <w:b w:val="0"/>
                <w:i w:val="0"/>
                <w:sz w:val="17"/>
              </w:rPr>
              <w:t>120 pathologists, cell detection</w:t>
            </w:r>
          </w:p>
        </w:tc>
        <w:tc>
          <w:tcPr>
            <w:tcW w:type="dxa" w:w="2412"/>
            <w:shd w:val="clear" w:color="auto" w:fill="F3F7FB"/>
          </w:tcPr>
          <w:p>
            <w:pPr>
              <w:spacing w:after="20" w:before="20"/>
              <w:jc w:val="left"/>
            </w:pPr>
            <w:r/>
            <w:r>
              <w:rPr>
                <w:rFonts w:ascii="Times New Roman" w:hAnsi="Times New Roman" w:eastAsia="Times New Roman"/>
                <w:b w:val="0"/>
                <w:i w:val="0"/>
                <w:sz w:val="17"/>
              </w:rPr>
              <w:t>Filters annotators rather than modelling their selectivity</w:t>
            </w:r>
          </w:p>
        </w:tc>
      </w:tr>
      <w:tr>
        <w:tc>
          <w:tcPr>
            <w:tcW w:type="dxa" w:w="2412"/>
          </w:tcPr>
          <w:p>
            <w:pPr>
              <w:spacing w:after="20" w:before="20"/>
              <w:jc w:val="left"/>
            </w:pPr>
            <w:r/>
            <w:r>
              <w:rPr>
                <w:rFonts w:ascii="Times New Roman" w:hAnsi="Times New Roman" w:eastAsia="Times New Roman"/>
                <w:b w:val="0"/>
                <w:i w:val="0"/>
                <w:sz w:val="17"/>
              </w:rPr>
              <w:t>Tschirschwitz et al. [11]</w:t>
            </w:r>
          </w:p>
        </w:tc>
        <w:tc>
          <w:tcPr>
            <w:tcW w:type="dxa" w:w="2412"/>
          </w:tcPr>
          <w:p>
            <w:pPr>
              <w:spacing w:after="20" w:before="20"/>
              <w:jc w:val="left"/>
            </w:pPr>
            <w:r/>
            <w:r>
              <w:rPr>
                <w:rFonts w:ascii="Times New Roman" w:hAnsi="Times New Roman" w:eastAsia="Times New Roman"/>
                <w:b w:val="0"/>
                <w:i w:val="0"/>
                <w:sz w:val="17"/>
              </w:rPr>
              <w:t>EM aggregation of repeated labels</w:t>
            </w:r>
          </w:p>
        </w:tc>
        <w:tc>
          <w:tcPr>
            <w:tcW w:type="dxa" w:w="2412"/>
          </w:tcPr>
          <w:p>
            <w:pPr>
              <w:spacing w:after="20" w:before="20"/>
              <w:jc w:val="left"/>
            </w:pPr>
            <w:r/>
            <w:r>
              <w:rPr>
                <w:rFonts w:ascii="Times New Roman" w:hAnsi="Times New Roman" w:eastAsia="Times New Roman"/>
                <w:b w:val="0"/>
                <w:i w:val="0"/>
                <w:sz w:val="17"/>
              </w:rPr>
              <w:t>Object detection with repeated labels</w:t>
            </w:r>
          </w:p>
        </w:tc>
        <w:tc>
          <w:tcPr>
            <w:tcW w:type="dxa" w:w="2412"/>
          </w:tcPr>
          <w:p>
            <w:pPr>
              <w:spacing w:after="20" w:before="20"/>
              <w:jc w:val="left"/>
            </w:pPr>
            <w:r/>
            <w:r>
              <w:rPr>
                <w:rFonts w:ascii="Times New Roman" w:hAnsi="Times New Roman" w:eastAsia="Times New Roman"/>
                <w:b w:val="0"/>
                <w:i w:val="0"/>
                <w:sz w:val="17"/>
              </w:rPr>
              <w:t>Aggregation, not reader-specific selectivity</w:t>
            </w:r>
          </w:p>
        </w:tc>
      </w:tr>
      <w:tr>
        <w:tc>
          <w:tcPr>
            <w:tcW w:type="dxa" w:w="2412"/>
            <w:shd w:val="clear" w:color="auto" w:fill="F3F7FB"/>
          </w:tcPr>
          <w:p>
            <w:pPr>
              <w:spacing w:after="20" w:before="20"/>
              <w:jc w:val="left"/>
            </w:pPr>
            <w:r/>
            <w:r>
              <w:rPr>
                <w:rFonts w:ascii="Times New Roman" w:hAnsi="Times New Roman" w:eastAsia="Times New Roman"/>
                <w:b w:val="0"/>
                <w:i w:val="0"/>
                <w:sz w:val="17"/>
              </w:rPr>
              <w:t>Perez Bianchi et al. [1]</w:t>
            </w:r>
          </w:p>
        </w:tc>
        <w:tc>
          <w:tcPr>
            <w:tcW w:type="dxa" w:w="2412"/>
            <w:shd w:val="clear" w:color="auto" w:fill="F3F7FB"/>
          </w:tcPr>
          <w:p>
            <w:pPr>
              <w:spacing w:after="20" w:before="20"/>
              <w:jc w:val="left"/>
            </w:pPr>
            <w:r/>
            <w:r>
              <w:rPr>
                <w:rFonts w:ascii="Times New Roman" w:hAnsi="Times New Roman" w:eastAsia="Times New Roman"/>
                <w:b w:val="0"/>
                <w:i w:val="0"/>
                <w:sz w:val="17"/>
              </w:rPr>
              <w:t>Confidence model from agreement, equal expertise assumed</w:t>
            </w:r>
          </w:p>
        </w:tc>
        <w:tc>
          <w:tcPr>
            <w:tcW w:type="dxa" w:w="2412"/>
            <w:shd w:val="clear" w:color="auto" w:fill="F3F7FB"/>
          </w:tcPr>
          <w:p>
            <w:pPr>
              <w:spacing w:after="20" w:before="20"/>
              <w:jc w:val="left"/>
            </w:pPr>
            <w:r/>
            <w:r>
              <w:rPr>
                <w:rFonts w:ascii="Times New Roman" w:hAnsi="Times New Roman" w:eastAsia="Times New Roman"/>
                <w:b w:val="0"/>
                <w:i w:val="0"/>
                <w:sz w:val="17"/>
              </w:rPr>
              <w:t>RIVA</w:t>
            </w:r>
          </w:p>
        </w:tc>
        <w:tc>
          <w:tcPr>
            <w:tcW w:type="dxa" w:w="2412"/>
            <w:shd w:val="clear" w:color="auto" w:fill="F3F7FB"/>
          </w:tcPr>
          <w:p>
            <w:pPr>
              <w:spacing w:after="20" w:before="20"/>
              <w:jc w:val="left"/>
            </w:pPr>
            <w:r/>
            <w:r>
              <w:rPr>
                <w:rFonts w:ascii="Times New Roman" w:hAnsi="Times New Roman" w:eastAsia="Times New Roman"/>
                <w:b w:val="0"/>
                <w:i w:val="0"/>
                <w:sz w:val="17"/>
              </w:rPr>
              <w:t>Does not model individual readers</w:t>
            </w:r>
          </w:p>
        </w:tc>
      </w:tr>
    </w:tbl>
    <w:p>
      <w:pPr>
        <w:keepNext w:val="0"/>
        <w:spacing w:before="0" w:after="80"/>
        <w:jc w:val="both"/>
      </w:pPr>
    </w:p>
    <w:p>
      <w:pPr>
        <w:keepNext/>
        <w:spacing w:before="200" w:after="120"/>
        <w:ind w:left="115"/>
        <w:jc w:val="left"/>
        <w:shd w:val="clear" w:color="auto" w:fill="EAF1F8"/>
        <w:pBdr>
          <w:left w:val="single" w:sz="36" w:space="6" w:color="1F4E79"/>
        </w:pBdr>
      </w:pPr>
      <w:r>
        <w:rPr>
          <w:rFonts w:ascii="Times New Roman" w:hAnsi="Times New Roman" w:eastAsia="Times New Roman"/>
          <w:b/>
          <w:i w:val="0"/>
          <w:color w:val="1F4E79"/>
          <w:sz w:val="22"/>
        </w:rPr>
        <w:t>3 DATA</w:t>
      </w:r>
    </w:p>
    <w:p>
      <w:pPr>
        <w:keepNext w:val="0"/>
        <w:spacing w:before="0" w:after="120"/>
        <w:jc w:val="both"/>
      </w:pPr>
      <w:r>
        <w:rPr>
          <w:rFonts w:ascii="Times New Roman" w:hAnsi="Times New Roman" w:eastAsia="Times New Roman"/>
          <w:b/>
          <w:i w:val="0"/>
          <w:sz w:val="20"/>
        </w:rPr>
        <w:t>RIVA.</w:t>
      </w:r>
      <w:r>
        <w:rPr>
          <w:rFonts w:ascii="Times New Roman" w:hAnsi="Times New Roman" w:eastAsia="Times New Roman"/>
          <w:b w:val="0"/>
          <w:i w:val="0"/>
          <w:sz w:val="20"/>
        </w:rPr>
        <w:t xml:space="preserve"> RIVA contains 959 mini-patches of 1,024 x 1,024 pixels cut from whole-slide scans of conventional Pap smears from 115 patients, scanned at 40x [1]. Each cell is marked by a nucleus point and one of eight categories: SCC, HSIL, ASCH, LSIL, ASCUS (lesion), and INF, ENDO, NILM (non-lesion). In our copy of the annotation file the inflammation label appears as INFL. The release totals 26,158 point annotations, which we confirmed.</w:t>
      </w:r>
    </w:p>
    <w:p>
      <w:pPr>
        <w:keepNext w:val="0"/>
        <w:spacing w:before="0" w:after="120"/>
        <w:jc w:val="both"/>
      </w:pPr>
      <w:r>
        <w:rPr>
          <w:rFonts w:ascii="Times New Roman" w:hAnsi="Times New Roman" w:eastAsia="Times New Roman"/>
          <w:b/>
          <w:i w:val="0"/>
          <w:sz w:val="20"/>
        </w:rPr>
        <w:t>Readers and subsets.</w:t>
      </w:r>
      <w:r>
        <w:rPr>
          <w:rFonts w:ascii="Times New Roman" w:hAnsi="Times New Roman" w:eastAsia="Times New Roman"/>
          <w:b w:val="0"/>
          <w:i w:val="0"/>
          <w:sz w:val="20"/>
        </w:rPr>
        <w:t xml:space="preserve"> Annotations are stored per patch under the keys annotator_1 to annotator_4. In the downloaded file 386 patches contain all four readers (17,716 annotations per the Zenodo record) and 573 contain one reader (8,442 annotations per the Zenodo record), with 143, 137, 144 and 149 single-reader patches for annotators 1 to 4. The dataset paper describes a workflow in which the first patches were given to all annotators and the rest were split evenly across annotators, in Label Studio with independent projects per reader and shuffled patches.</w:t>
      </w:r>
    </w:p>
    <w:p>
      <w:pPr>
        <w:keepNext w:val="0"/>
        <w:spacing w:before="0" w:after="120"/>
        <w:jc w:val="both"/>
      </w:pPr>
      <w:r>
        <w:rPr>
          <w:rFonts w:ascii="Times New Roman" w:hAnsi="Times New Roman" w:eastAsia="Times New Roman"/>
          <w:b/>
          <w:i w:val="0"/>
          <w:sz w:val="20"/>
        </w:rPr>
        <w:t>Grouping.</w:t>
      </w:r>
      <w:r>
        <w:rPr>
          <w:rFonts w:ascii="Times New Roman" w:hAnsi="Times New Roman" w:eastAsia="Times New Roman"/>
          <w:b w:val="0"/>
          <w:i w:val="0"/>
          <w:sz w:val="20"/>
        </w:rPr>
        <w:t xml:space="preserve"> Patch names encode diagnostic category, slide number and patch number (for example LSIL_45_3). We grouped patches by category and slide number for cross-validation; whether a slide number is unique across categories and whether one slide equals one patient are assumptions we could not verify.</w:t>
      </w:r>
    </w:p>
    <w:p>
      <w:pPr>
        <w:keepNext w:val="0"/>
        <w:spacing w:before="0" w:after="120"/>
        <w:jc w:val="both"/>
      </w:pPr>
      <w:r>
        <w:rPr>
          <w:rFonts w:ascii="Times New Roman" w:hAnsi="Times New Roman" w:eastAsia="Times New Roman"/>
          <w:b/>
          <w:i w:val="0"/>
          <w:sz w:val="20"/>
        </w:rPr>
        <w:t>Access and licence.</w:t>
      </w:r>
      <w:r>
        <w:rPr>
          <w:rFonts w:ascii="Times New Roman" w:hAnsi="Times New Roman" w:eastAsia="Times New Roman"/>
          <w:b w:val="0"/>
          <w:i w:val="0"/>
          <w:sz w:val="20"/>
        </w:rPr>
        <w:t xml:space="preserve"> The dataset is on Zenodo [13] (doi 10.5281/zenodo.17288879), checksum verified against the record. The licence wording differs between sources: the paper states CC BY-NC-ND 4.0, the Zenodo record lists CC BY 4.0, and the packaged licence file states CC BY-NC 4.0. We treated use as non-commercial and did not redistribute images or modified data. No clinical outcome, HPV status or biopsy result is available, so there is no reference standard independent of the readers.</w:t>
      </w:r>
    </w:p>
    <w:p>
      <w:pPr>
        <w:keepNext/>
        <w:spacing w:before="200" w:after="120"/>
        <w:ind w:left="115"/>
        <w:jc w:val="left"/>
        <w:shd w:val="clear" w:color="auto" w:fill="EAF1F8"/>
        <w:pBdr>
          <w:left w:val="single" w:sz="36" w:space="6" w:color="1F4E79"/>
        </w:pBdr>
      </w:pPr>
      <w:r>
        <w:rPr>
          <w:rFonts w:ascii="Times New Roman" w:hAnsi="Times New Roman" w:eastAsia="Times New Roman"/>
          <w:b/>
          <w:i w:val="0"/>
          <w:color w:val="1F4E79"/>
          <w:sz w:val="22"/>
        </w:rPr>
        <w:t>4 METHODS</w:t>
      </w:r>
    </w:p>
    <w:p>
      <w:pPr>
        <w:keepNext w:val="0"/>
        <w:spacing w:before="0" w:after="120"/>
        <w:jc w:val="both"/>
      </w:pPr>
      <w:r>
        <w:rPr>
          <w:rFonts w:ascii="Times New Roman" w:hAnsi="Times New Roman" w:eastAsia="Times New Roman"/>
          <w:b/>
          <w:i w:val="0"/>
          <w:sz w:val="20"/>
        </w:rPr>
        <w:t>Cell matching.</w:t>
      </w:r>
      <w:r>
        <w:rPr>
          <w:rFonts w:ascii="Times New Roman" w:hAnsi="Times New Roman" w:eastAsia="Times New Roman"/>
          <w:b w:val="0"/>
          <w:i w:val="0"/>
          <w:sz w:val="20"/>
        </w:rPr>
        <w:t xml:space="preserve"> Coordinates are stored as percentages of image width and height. On each four-reader patch we pooled all points and clustered them with DBSCAN [14] (minimum one point, radius 1.85 percent of image size), so that points from different readers within the radius form one matched cell. The radius was chosen so that the total number of matched cells approximated the 7,507 unique cells reported for this subset (1.5 percent gave 7,779; 2.0 percent gave 7,392; 1.85 percent gave 7,470). Reader-behaviour statistics were computed at 1.5, 1.85 and 2.0 percent; the simulated experiment used 1.85 percent. Figure 1 gives an overview of the three analyses.</w:t>
      </w:r>
    </w:p>
    <w:p>
      <w:pPr>
        <w:keepNext w:val="0"/>
        <w:spacing w:before="0" w:after="120"/>
        <w:jc w:val="both"/>
      </w:pPr>
      <w:r>
        <w:rPr>
          <w:rFonts w:ascii="Times New Roman" w:hAnsi="Times New Roman" w:eastAsia="Times New Roman"/>
          <w:b/>
          <w:i w:val="0"/>
          <w:sz w:val="20"/>
        </w:rPr>
        <w:t>Reader behaviour.</w:t>
      </w:r>
      <w:r>
        <w:rPr>
          <w:rFonts w:ascii="Times New Roman" w:hAnsi="Times New Roman" w:eastAsia="Times New Roman"/>
          <w:b w:val="0"/>
          <w:i w:val="0"/>
          <w:sz w:val="20"/>
        </w:rPr>
        <w:t xml:space="preserve"> For each reader we computed the share of cells marked by at least one other reader that the reader also marked, overall, by cell class group (lesion if the majority label among marks was SCC, HSIL, ASCH, LSIL or ASCUS; otherwise non-lesion) and by patch density (dense if a patch had at least 25 matched cells). We computed the share of each reader's marks with no other-reader mark within the radius, and, among cells at least two other readers marked, the cells a reader skipped. A zero-truncated mixture of real and spurious cells was fitted by maximum likelihood to examine reader-specific marking probabilities; we report why its two-type structure is inadequate in Section 5.</w:t>
      </w:r>
    </w:p>
    <w:p>
      <w:pPr>
        <w:keepNext w:val="0"/>
        <w:spacing w:before="0" w:after="120"/>
        <w:jc w:val="both"/>
      </w:pPr>
      <w:r>
        <w:rPr>
          <w:rFonts w:ascii="Times New Roman" w:hAnsi="Times New Roman" w:eastAsia="Times New Roman"/>
          <w:b/>
          <w:i w:val="0"/>
          <w:sz w:val="20"/>
        </w:rPr>
        <w:t>Image check.</w:t>
      </w:r>
      <w:r>
        <w:rPr>
          <w:rFonts w:ascii="Times New Roman" w:hAnsi="Times New Roman" w:eastAsia="Times New Roman"/>
          <w:b w:val="0"/>
          <w:i w:val="0"/>
          <w:sz w:val="20"/>
        </w:rPr>
        <w:t xml:space="preserve"> We cut 64 x 64 pixel crops centred on matched cells and on background points at least 5 percent of image size from any mark, embedded them with a frozen ImageNet ResNet18 [15] (112 pixel input), and trained a logistic classifier of cells marked by three or four readers against background with five-fold cross-validation grouped by patch. Solo marks were scored out of fold, and a score threshold was set at the 10th percentile of consensus-cell scores.</w:t>
      </w:r>
    </w:p>
    <w:p>
      <w:pPr>
        <w:keepNext w:val="0"/>
        <w:spacing w:before="0" w:after="120"/>
        <w:jc w:val="both"/>
      </w:pPr>
      <w:r>
        <w:rPr>
          <w:rFonts w:ascii="Times New Roman" w:hAnsi="Times New Roman" w:eastAsia="Times New Roman"/>
          <w:b/>
          <w:i w:val="0"/>
          <w:sz w:val="20"/>
        </w:rPr>
        <w:t>Simulated single-reader experiment.</w:t>
      </w:r>
      <w:r>
        <w:rPr>
          <w:rFonts w:ascii="Times New Roman" w:hAnsi="Times New Roman" w:eastAsia="Times New Roman"/>
          <w:b w:val="0"/>
          <w:i w:val="0"/>
          <w:sz w:val="20"/>
        </w:rPr>
        <w:t xml:space="preserve"> Candidates were all matched cells plus eight random background points per patch (10,379 candidates, 3,088 background). The reference label was a cell marked by at least two readers (also reported at three). Within each training fold, one reader was drawn at random per patch and only that reader's marks were treated as labels; all other candidates were unmarked. A linear classifier on frozen features (ResNet18 at 112 pixels, or DINOv2-small [16] at 224 pixels, features standardised on training data) was trained with Adam (300 full-batch steps, learning rate 0.05, weight decay 0.001). Methods: naive (unmarked as negative); propensity-weighted positive-unlabelled with a non-negative risk guard using a constant rate, a per-reader rate, or a rate by reader, predicted class (a classifier trained on cells the chosen reader marked) and a density proxy (whether the reader's mark count in the patch exceeded that reader's median); a diagnostic variant using true class and density, which real single-reader data would not have; and an oracle trained on consensus labels. Marking rates were estimated on training patches as the probability that a reader marked a cell that at least two other readers marked.</w:t>
      </w:r>
    </w:p>
    <w:p>
      <w:pPr>
        <w:keepNext w:val="0"/>
        <w:spacing w:before="0" w:after="120"/>
        <w:jc w:val="both"/>
      </w:pPr>
      <w:r>
        <w:rPr>
          <w:rFonts w:ascii="Times New Roman" w:hAnsi="Times New Roman" w:eastAsia="Times New Roman"/>
          <w:b/>
          <w:i w:val="0"/>
          <w:sz w:val="20"/>
        </w:rPr>
        <w:t>Evaluation.</w:t>
      </w:r>
      <w:r>
        <w:rPr>
          <w:rFonts w:ascii="Times New Roman" w:hAnsi="Times New Roman" w:eastAsia="Times New Roman"/>
          <w:b w:val="0"/>
          <w:i w:val="0"/>
          <w:sz w:val="20"/>
        </w:rPr>
        <w:t xml:space="preserve"> Cross-validation grouped by category and slide (five folds), three random reader assignments, out-of-fold scores pooled. For lesion cells, candidates were lesion cells plus background. We report AUROC, average precision and recall at 5 percent false-positive rate. Intervals are 95 percent percentile intervals from 300 bootstrap resamples of slides with trained models held fixed.</w:t>
      </w:r>
    </w:p>
    <w:p>
      <w:pPr>
        <w:keepNext w:val="0"/>
        <w:spacing w:before="0" w:after="120"/>
        <w:jc w:val="both"/>
      </w:pPr>
      <w:r>
        <w:rPr>
          <w:rFonts w:ascii="Times New Roman" w:hAnsi="Times New Roman" w:eastAsia="Times New Roman"/>
          <w:b/>
          <w:i w:val="0"/>
          <w:sz w:val="20"/>
        </w:rPr>
        <w:t>Deferral.</w:t>
      </w:r>
      <w:r>
        <w:rPr>
          <w:rFonts w:ascii="Times New Roman" w:hAnsi="Times New Roman" w:eastAsia="Times New Roman"/>
          <w:b w:val="0"/>
          <w:i w:val="0"/>
          <w:sz w:val="20"/>
        </w:rPr>
        <w:t xml:space="preserve"> A ridge regression head predicted the share of readers who marked a cell (out of fold). Deferral signals ranked candidates by distance to the decision threshold (confidence), by predicted share near 0.5 (predicted disagreement), and by the mean of the two ranks; random ranking was the floor. We report error among accepted cells at 50 to 100 percent coverage, and bootstrapped differences between the combined signal and confidence alone.</w:t>
      </w:r>
    </w:p>
    <w:p>
      <w:pPr>
        <w:keepNext w:val="0"/>
        <w:spacing w:before="0" w:after="120"/>
        <w:jc w:val="both"/>
      </w:pPr>
      <w:r>
        <w:rPr>
          <w:rFonts w:ascii="Times New Roman" w:hAnsi="Times New Roman" w:eastAsia="Times New Roman"/>
          <w:b/>
          <w:i w:val="0"/>
          <w:sz w:val="20"/>
        </w:rPr>
        <w:t>Software and runs.</w:t>
      </w:r>
      <w:r>
        <w:rPr>
          <w:rFonts w:ascii="Times New Roman" w:hAnsi="Times New Roman" w:eastAsia="Times New Roman"/>
          <w:b w:val="0"/>
          <w:i w:val="0"/>
          <w:sz w:val="20"/>
        </w:rPr>
        <w:t xml:space="preserve"> Python with scikit-learn and PyTorch on CPU. The full pipeline reads the dataset archive in place and runs in about two minutes with ResNet18 and six minutes with DINOv2-small.</w:t>
      </w:r>
    </w:p>
    <w:p>
      <w:pPr>
        <w:keepNext/>
        <w:spacing w:before="80" w:after="40"/>
        <w:jc w:val="center"/>
      </w:pPr>
      <w:r>
        <w:drawing>
          <wp:inline xmlns:a="http://schemas.openxmlformats.org/drawingml/2006/main" xmlns:pic="http://schemas.openxmlformats.org/drawingml/2006/picture">
            <wp:extent cx="5760720" cy="27203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2720340"/>
                    </a:xfrm>
                    <a:prstGeom prst="rect"/>
                  </pic:spPr>
                </pic:pic>
              </a:graphicData>
            </a:graphic>
          </wp:inline>
        </w:drawing>
      </w:r>
    </w:p>
    <w:p>
      <w:pPr>
        <w:keepNext w:val="0"/>
        <w:spacing w:before="40" w:after="160"/>
        <w:jc w:val="center"/>
      </w:pPr>
      <w:r>
        <w:rPr>
          <w:rFonts w:ascii="Times New Roman" w:hAnsi="Times New Roman" w:eastAsia="Times New Roman"/>
          <w:b/>
          <w:i w:val="0"/>
          <w:color w:val="1F4E79"/>
          <w:sz w:val="17"/>
        </w:rPr>
        <w:t>Figure 1. Study design. Marks from the four readers are matched into cells and used for three analyses: (A) reader behaviour, (B) a simulated single-reader correction experiment with frozen image features, and (C) deferral.</w:t>
      </w:r>
    </w:p>
    <w:p>
      <w:pPr>
        <w:keepNext/>
        <w:spacing w:before="200" w:after="120"/>
        <w:ind w:left="115"/>
        <w:jc w:val="left"/>
        <w:shd w:val="clear" w:color="auto" w:fill="EAF1F8"/>
        <w:pBdr>
          <w:left w:val="single" w:sz="36" w:space="6" w:color="1F4E79"/>
        </w:pBdr>
      </w:pPr>
      <w:r>
        <w:rPr>
          <w:rFonts w:ascii="Times New Roman" w:hAnsi="Times New Roman" w:eastAsia="Times New Roman"/>
          <w:b/>
          <w:i w:val="0"/>
          <w:color w:val="1F4E79"/>
          <w:sz w:val="22"/>
        </w:rPr>
        <w:t>5 RESULTS</w:t>
      </w:r>
    </w:p>
    <w:p>
      <w:pPr>
        <w:keepNext/>
        <w:spacing w:before="120" w:after="60"/>
        <w:jc w:val="left"/>
      </w:pPr>
      <w:r>
        <w:rPr>
          <w:rFonts w:ascii="Times New Roman" w:hAnsi="Times New Roman" w:eastAsia="Times New Roman"/>
          <w:b/>
          <w:i w:val="0"/>
          <w:color w:val="1F4E79"/>
          <w:sz w:val="20"/>
        </w:rPr>
        <w:t>5.1 Readers differ in what they mark</w:t>
      </w:r>
    </w:p>
    <w:p>
      <w:pPr>
        <w:keepNext w:val="0"/>
        <w:spacing w:before="0" w:after="120"/>
        <w:jc w:val="both"/>
      </w:pPr>
      <w:r>
        <w:rPr>
          <w:rFonts w:ascii="Times New Roman" w:hAnsi="Times New Roman" w:eastAsia="Times New Roman"/>
          <w:b w:val="0"/>
          <w:i w:val="0"/>
          <w:sz w:val="20"/>
        </w:rPr>
        <w:t>On the 386 four-reader patches the matching produced 7,470 cells at a radius of 1.85 percent (merged groups under 1 percent). Of these, 38 percent were marked by one reader, 17 percent by two, 17 percent by three and 28 percent by all four (Figure 2). Table 2 and Figure 3 summarise each reader's behaviour.</w:t>
      </w:r>
    </w:p>
    <w:p>
      <w:pPr>
        <w:keepNext/>
        <w:spacing w:before="120" w:after="60"/>
        <w:jc w:val="left"/>
      </w:pPr>
      <w:r>
        <w:rPr>
          <w:rFonts w:ascii="Times New Roman" w:hAnsi="Times New Roman" w:eastAsia="Times New Roman"/>
          <w:b/>
          <w:i w:val="0"/>
          <w:color w:val="1F4E79"/>
          <w:sz w:val="17"/>
        </w:rPr>
        <w:t>Table 2. Share of cells marked by at least one other reader that the reader also marked, by cell class group and patch density (radius 1.85 percent). Lesion rates are lowest for annotators 3 and 4 and are nearly flat for annotator_2.</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608"/>
            <w:shd w:val="clear" w:color="auto" w:fill="1F4E79"/>
          </w:tcPr>
          <w:p>
            <w:pPr>
              <w:spacing w:after="20" w:before="20"/>
              <w:jc w:val="left"/>
            </w:pPr>
            <w:r/>
            <w:r>
              <w:rPr>
                <w:rFonts w:ascii="Times New Roman" w:hAnsi="Times New Roman" w:eastAsia="Times New Roman"/>
                <w:b/>
                <w:i w:val="0"/>
                <w:color w:val="FFFFFF"/>
                <w:sz w:val="17"/>
              </w:rPr>
              <w:t>Reader</w:t>
            </w:r>
          </w:p>
        </w:tc>
        <w:tc>
          <w:tcPr>
            <w:tcW w:type="dxa" w:w="1608"/>
            <w:shd w:val="clear" w:color="auto" w:fill="1F4E79"/>
          </w:tcPr>
          <w:p>
            <w:pPr>
              <w:spacing w:after="20" w:before="20"/>
              <w:jc w:val="left"/>
            </w:pPr>
            <w:r/>
            <w:r>
              <w:rPr>
                <w:rFonts w:ascii="Times New Roman" w:hAnsi="Times New Roman" w:eastAsia="Times New Roman"/>
                <w:b/>
                <w:i w:val="0"/>
                <w:color w:val="FFFFFF"/>
                <w:sz w:val="17"/>
              </w:rPr>
              <w:t>Marked others' cells, all</w:t>
            </w:r>
          </w:p>
        </w:tc>
        <w:tc>
          <w:tcPr>
            <w:tcW w:type="dxa" w:w="1608"/>
            <w:shd w:val="clear" w:color="auto" w:fill="1F4E79"/>
          </w:tcPr>
          <w:p>
            <w:pPr>
              <w:spacing w:after="20" w:before="20"/>
              <w:jc w:val="left"/>
            </w:pPr>
            <w:r/>
            <w:r>
              <w:rPr>
                <w:rFonts w:ascii="Times New Roman" w:hAnsi="Times New Roman" w:eastAsia="Times New Roman"/>
                <w:b/>
                <w:i w:val="0"/>
                <w:color w:val="FFFFFF"/>
                <w:sz w:val="17"/>
              </w:rPr>
              <w:t>Lesion cells</w:t>
            </w:r>
          </w:p>
        </w:tc>
        <w:tc>
          <w:tcPr>
            <w:tcW w:type="dxa" w:w="1608"/>
            <w:shd w:val="clear" w:color="auto" w:fill="1F4E79"/>
          </w:tcPr>
          <w:p>
            <w:pPr>
              <w:spacing w:after="20" w:before="20"/>
              <w:jc w:val="left"/>
            </w:pPr>
            <w:r/>
            <w:r>
              <w:rPr>
                <w:rFonts w:ascii="Times New Roman" w:hAnsi="Times New Roman" w:eastAsia="Times New Roman"/>
                <w:b/>
                <w:i w:val="0"/>
                <w:color w:val="FFFFFF"/>
                <w:sz w:val="17"/>
              </w:rPr>
              <w:t>Non-lesion cells (INFL / other)</w:t>
            </w:r>
          </w:p>
        </w:tc>
        <w:tc>
          <w:tcPr>
            <w:tcW w:type="dxa" w:w="1608"/>
            <w:shd w:val="clear" w:color="auto" w:fill="1F4E79"/>
          </w:tcPr>
          <w:p>
            <w:pPr>
              <w:spacing w:after="20" w:before="20"/>
              <w:jc w:val="left"/>
            </w:pPr>
            <w:r/>
            <w:r>
              <w:rPr>
                <w:rFonts w:ascii="Times New Roman" w:hAnsi="Times New Roman" w:eastAsia="Times New Roman"/>
                <w:b/>
                <w:i w:val="0"/>
                <w:color w:val="FFFFFF"/>
                <w:sz w:val="17"/>
              </w:rPr>
              <w:t>Dense / sparse patches</w:t>
            </w:r>
          </w:p>
        </w:tc>
        <w:tc>
          <w:tcPr>
            <w:tcW w:type="dxa" w:w="1608"/>
            <w:shd w:val="clear" w:color="auto" w:fill="1F4E79"/>
          </w:tcPr>
          <w:p>
            <w:pPr>
              <w:spacing w:after="20" w:before="20"/>
              <w:jc w:val="left"/>
            </w:pPr>
            <w:r/>
            <w:r>
              <w:rPr>
                <w:rFonts w:ascii="Times New Roman" w:hAnsi="Times New Roman" w:eastAsia="Times New Roman"/>
                <w:b/>
                <w:i w:val="0"/>
                <w:color w:val="FFFFFF"/>
                <w:sz w:val="17"/>
              </w:rPr>
              <w:t>Marks with no other reader nearby</w:t>
            </w:r>
          </w:p>
        </w:tc>
      </w:tr>
      <w:tr>
        <w:tc>
          <w:tcPr>
            <w:tcW w:type="dxa" w:w="1608"/>
          </w:tcPr>
          <w:p>
            <w:pPr>
              <w:spacing w:after="20" w:before="20"/>
              <w:jc w:val="left"/>
            </w:pPr>
            <w:r/>
            <w:r>
              <w:rPr>
                <w:rFonts w:ascii="Times New Roman" w:hAnsi="Times New Roman" w:eastAsia="Times New Roman"/>
                <w:b w:val="0"/>
                <w:i w:val="0"/>
                <w:sz w:val="17"/>
              </w:rPr>
              <w:t>annotator_1</w:t>
            </w:r>
          </w:p>
        </w:tc>
        <w:tc>
          <w:tcPr>
            <w:tcW w:type="dxa" w:w="1608"/>
          </w:tcPr>
          <w:p>
            <w:pPr>
              <w:spacing w:after="20" w:before="20"/>
              <w:jc w:val="left"/>
            </w:pPr>
            <w:r/>
            <w:r>
              <w:rPr>
                <w:rFonts w:ascii="Times New Roman" w:hAnsi="Times New Roman" w:eastAsia="Times New Roman"/>
                <w:b w:val="0"/>
                <w:i w:val="0"/>
                <w:sz w:val="17"/>
              </w:rPr>
              <w:t>69%</w:t>
            </w:r>
          </w:p>
        </w:tc>
        <w:tc>
          <w:tcPr>
            <w:tcW w:type="dxa" w:w="1608"/>
          </w:tcPr>
          <w:p>
            <w:pPr>
              <w:spacing w:after="20" w:before="20"/>
              <w:jc w:val="left"/>
            </w:pPr>
            <w:r/>
            <w:r>
              <w:rPr>
                <w:rFonts w:ascii="Times New Roman" w:hAnsi="Times New Roman" w:eastAsia="Times New Roman"/>
                <w:b w:val="0"/>
                <w:i w:val="0"/>
                <w:sz w:val="17"/>
              </w:rPr>
              <w:t>45%</w:t>
            </w:r>
          </w:p>
        </w:tc>
        <w:tc>
          <w:tcPr>
            <w:tcW w:type="dxa" w:w="1608"/>
          </w:tcPr>
          <w:p>
            <w:pPr>
              <w:spacing w:after="20" w:before="20"/>
              <w:jc w:val="left"/>
            </w:pPr>
            <w:r/>
            <w:r>
              <w:rPr>
                <w:rFonts w:ascii="Times New Roman" w:hAnsi="Times New Roman" w:eastAsia="Times New Roman"/>
                <w:b w:val="0"/>
                <w:i w:val="0"/>
                <w:sz w:val="17"/>
              </w:rPr>
              <w:t>81% / 82%</w:t>
            </w:r>
          </w:p>
        </w:tc>
        <w:tc>
          <w:tcPr>
            <w:tcW w:type="dxa" w:w="1608"/>
          </w:tcPr>
          <w:p>
            <w:pPr>
              <w:spacing w:after="20" w:before="20"/>
              <w:jc w:val="left"/>
            </w:pPr>
            <w:r/>
            <w:r>
              <w:rPr>
                <w:rFonts w:ascii="Times New Roman" w:hAnsi="Times New Roman" w:eastAsia="Times New Roman"/>
                <w:b w:val="0"/>
                <w:i w:val="0"/>
                <w:sz w:val="17"/>
              </w:rPr>
              <w:t>68% / 70%</w:t>
            </w:r>
          </w:p>
        </w:tc>
        <w:tc>
          <w:tcPr>
            <w:tcW w:type="dxa" w:w="1608"/>
          </w:tcPr>
          <w:p>
            <w:pPr>
              <w:spacing w:after="20" w:before="20"/>
              <w:jc w:val="left"/>
            </w:pPr>
            <w:r/>
            <w:r>
              <w:rPr>
                <w:rFonts w:ascii="Times New Roman" w:hAnsi="Times New Roman" w:eastAsia="Times New Roman"/>
                <w:b w:val="0"/>
                <w:i w:val="0"/>
                <w:sz w:val="17"/>
              </w:rPr>
              <w:t>23%</w:t>
            </w:r>
          </w:p>
        </w:tc>
      </w:tr>
      <w:tr>
        <w:tc>
          <w:tcPr>
            <w:tcW w:type="dxa" w:w="1608"/>
            <w:shd w:val="clear" w:color="auto" w:fill="F3F7FB"/>
          </w:tcPr>
          <w:p>
            <w:pPr>
              <w:spacing w:after="20" w:before="20"/>
              <w:jc w:val="left"/>
            </w:pPr>
            <w:r/>
            <w:r>
              <w:rPr>
                <w:rFonts w:ascii="Times New Roman" w:hAnsi="Times New Roman" w:eastAsia="Times New Roman"/>
                <w:b w:val="0"/>
                <w:i w:val="0"/>
                <w:sz w:val="17"/>
              </w:rPr>
              <w:t>annotator_2</w:t>
            </w:r>
          </w:p>
        </w:tc>
        <w:tc>
          <w:tcPr>
            <w:tcW w:type="dxa" w:w="1608"/>
            <w:shd w:val="clear" w:color="auto" w:fill="F3F7FB"/>
          </w:tcPr>
          <w:p>
            <w:pPr>
              <w:spacing w:after="20" w:before="20"/>
              <w:jc w:val="left"/>
            </w:pPr>
            <w:r/>
            <w:r>
              <w:rPr>
                <w:rFonts w:ascii="Times New Roman" w:hAnsi="Times New Roman" w:eastAsia="Times New Roman"/>
                <w:b w:val="0"/>
                <w:i w:val="0"/>
                <w:sz w:val="17"/>
              </w:rPr>
              <w:t>60%</w:t>
            </w:r>
          </w:p>
        </w:tc>
        <w:tc>
          <w:tcPr>
            <w:tcW w:type="dxa" w:w="1608"/>
            <w:shd w:val="clear" w:color="auto" w:fill="F3F7FB"/>
          </w:tcPr>
          <w:p>
            <w:pPr>
              <w:spacing w:after="20" w:before="20"/>
              <w:jc w:val="left"/>
            </w:pPr>
            <w:r/>
            <w:r>
              <w:rPr>
                <w:rFonts w:ascii="Times New Roman" w:hAnsi="Times New Roman" w:eastAsia="Times New Roman"/>
                <w:b w:val="0"/>
                <w:i w:val="0"/>
                <w:sz w:val="17"/>
              </w:rPr>
              <w:t>58%</w:t>
            </w:r>
          </w:p>
        </w:tc>
        <w:tc>
          <w:tcPr>
            <w:tcW w:type="dxa" w:w="1608"/>
            <w:shd w:val="clear" w:color="auto" w:fill="F3F7FB"/>
          </w:tcPr>
          <w:p>
            <w:pPr>
              <w:spacing w:after="20" w:before="20"/>
              <w:jc w:val="left"/>
            </w:pPr>
            <w:r/>
            <w:r>
              <w:rPr>
                <w:rFonts w:ascii="Times New Roman" w:hAnsi="Times New Roman" w:eastAsia="Times New Roman"/>
                <w:b w:val="0"/>
                <w:i w:val="0"/>
                <w:sz w:val="17"/>
              </w:rPr>
              <w:t>56% / 64%</w:t>
            </w:r>
          </w:p>
        </w:tc>
        <w:tc>
          <w:tcPr>
            <w:tcW w:type="dxa" w:w="1608"/>
            <w:shd w:val="clear" w:color="auto" w:fill="F3F7FB"/>
          </w:tcPr>
          <w:p>
            <w:pPr>
              <w:spacing w:after="20" w:before="20"/>
              <w:jc w:val="left"/>
            </w:pPr>
            <w:r/>
            <w:r>
              <w:rPr>
                <w:rFonts w:ascii="Times New Roman" w:hAnsi="Times New Roman" w:eastAsia="Times New Roman"/>
                <w:b w:val="0"/>
                <w:i w:val="0"/>
                <w:sz w:val="17"/>
              </w:rPr>
              <w:t>54% / 66%</w:t>
            </w:r>
          </w:p>
        </w:tc>
        <w:tc>
          <w:tcPr>
            <w:tcW w:type="dxa" w:w="1608"/>
            <w:shd w:val="clear" w:color="auto" w:fill="F3F7FB"/>
          </w:tcPr>
          <w:p>
            <w:pPr>
              <w:spacing w:after="20" w:before="20"/>
              <w:jc w:val="left"/>
            </w:pPr>
            <w:r/>
            <w:r>
              <w:rPr>
                <w:rFonts w:ascii="Times New Roman" w:hAnsi="Times New Roman" w:eastAsia="Times New Roman"/>
                <w:b w:val="0"/>
                <w:i w:val="0"/>
                <w:sz w:val="17"/>
              </w:rPr>
              <w:t>21%</w:t>
            </w:r>
          </w:p>
        </w:tc>
      </w:tr>
      <w:tr>
        <w:tc>
          <w:tcPr>
            <w:tcW w:type="dxa" w:w="1608"/>
          </w:tcPr>
          <w:p>
            <w:pPr>
              <w:spacing w:after="20" w:before="20"/>
              <w:jc w:val="left"/>
            </w:pPr>
            <w:r/>
            <w:r>
              <w:rPr>
                <w:rFonts w:ascii="Times New Roman" w:hAnsi="Times New Roman" w:eastAsia="Times New Roman"/>
                <w:b w:val="0"/>
                <w:i w:val="0"/>
                <w:sz w:val="17"/>
              </w:rPr>
              <w:t>annotator_3</w:t>
            </w:r>
          </w:p>
        </w:tc>
        <w:tc>
          <w:tcPr>
            <w:tcW w:type="dxa" w:w="1608"/>
          </w:tcPr>
          <w:p>
            <w:pPr>
              <w:spacing w:after="20" w:before="20"/>
              <w:jc w:val="left"/>
            </w:pPr>
            <w:r/>
            <w:r>
              <w:rPr>
                <w:rFonts w:ascii="Times New Roman" w:hAnsi="Times New Roman" w:eastAsia="Times New Roman"/>
                <w:b w:val="0"/>
                <w:i w:val="0"/>
                <w:sz w:val="17"/>
              </w:rPr>
              <w:t>51%</w:t>
            </w:r>
          </w:p>
        </w:tc>
        <w:tc>
          <w:tcPr>
            <w:tcW w:type="dxa" w:w="1608"/>
          </w:tcPr>
          <w:p>
            <w:pPr>
              <w:spacing w:after="20" w:before="20"/>
              <w:jc w:val="left"/>
            </w:pPr>
            <w:r/>
            <w:r>
              <w:rPr>
                <w:rFonts w:ascii="Times New Roman" w:hAnsi="Times New Roman" w:eastAsia="Times New Roman"/>
                <w:b w:val="0"/>
                <w:i w:val="0"/>
                <w:sz w:val="17"/>
              </w:rPr>
              <w:t>29%</w:t>
            </w:r>
          </w:p>
        </w:tc>
        <w:tc>
          <w:tcPr>
            <w:tcW w:type="dxa" w:w="1608"/>
          </w:tcPr>
          <w:p>
            <w:pPr>
              <w:spacing w:after="20" w:before="20"/>
              <w:jc w:val="left"/>
            </w:pPr>
            <w:r/>
            <w:r>
              <w:rPr>
                <w:rFonts w:ascii="Times New Roman" w:hAnsi="Times New Roman" w:eastAsia="Times New Roman"/>
                <w:b w:val="0"/>
                <w:i w:val="0"/>
                <w:sz w:val="17"/>
              </w:rPr>
              <w:t>57% / 67%</w:t>
            </w:r>
          </w:p>
        </w:tc>
        <w:tc>
          <w:tcPr>
            <w:tcW w:type="dxa" w:w="1608"/>
          </w:tcPr>
          <w:p>
            <w:pPr>
              <w:spacing w:after="20" w:before="20"/>
              <w:jc w:val="left"/>
            </w:pPr>
            <w:r/>
            <w:r>
              <w:rPr>
                <w:rFonts w:ascii="Times New Roman" w:hAnsi="Times New Roman" w:eastAsia="Times New Roman"/>
                <w:b w:val="0"/>
                <w:i w:val="0"/>
                <w:sz w:val="17"/>
              </w:rPr>
              <w:t>46% / 56%</w:t>
            </w:r>
          </w:p>
        </w:tc>
        <w:tc>
          <w:tcPr>
            <w:tcW w:type="dxa" w:w="1608"/>
          </w:tcPr>
          <w:p>
            <w:pPr>
              <w:spacing w:after="20" w:before="20"/>
              <w:jc w:val="left"/>
            </w:pPr>
            <w:r/>
            <w:r>
              <w:rPr>
                <w:rFonts w:ascii="Times New Roman" w:hAnsi="Times New Roman" w:eastAsia="Times New Roman"/>
                <w:b w:val="0"/>
                <w:i w:val="0"/>
                <w:sz w:val="17"/>
              </w:rPr>
              <w:t>10%</w:t>
            </w:r>
          </w:p>
        </w:tc>
      </w:tr>
      <w:tr>
        <w:tc>
          <w:tcPr>
            <w:tcW w:type="dxa" w:w="1608"/>
            <w:shd w:val="clear" w:color="auto" w:fill="F3F7FB"/>
          </w:tcPr>
          <w:p>
            <w:pPr>
              <w:spacing w:after="20" w:before="20"/>
              <w:jc w:val="left"/>
            </w:pPr>
            <w:r/>
            <w:r>
              <w:rPr>
                <w:rFonts w:ascii="Times New Roman" w:hAnsi="Times New Roman" w:eastAsia="Times New Roman"/>
                <w:b w:val="0"/>
                <w:i w:val="0"/>
                <w:sz w:val="17"/>
              </w:rPr>
              <w:t>annotator_4</w:t>
            </w:r>
          </w:p>
        </w:tc>
        <w:tc>
          <w:tcPr>
            <w:tcW w:type="dxa" w:w="1608"/>
            <w:shd w:val="clear" w:color="auto" w:fill="F3F7FB"/>
          </w:tcPr>
          <w:p>
            <w:pPr>
              <w:spacing w:after="20" w:before="20"/>
              <w:jc w:val="left"/>
            </w:pPr>
            <w:r/>
            <w:r>
              <w:rPr>
                <w:rFonts w:ascii="Times New Roman" w:hAnsi="Times New Roman" w:eastAsia="Times New Roman"/>
                <w:b w:val="0"/>
                <w:i w:val="0"/>
                <w:sz w:val="17"/>
              </w:rPr>
              <w:t>41%</w:t>
            </w:r>
          </w:p>
        </w:tc>
        <w:tc>
          <w:tcPr>
            <w:tcW w:type="dxa" w:w="1608"/>
            <w:shd w:val="clear" w:color="auto" w:fill="F3F7FB"/>
          </w:tcPr>
          <w:p>
            <w:pPr>
              <w:spacing w:after="20" w:before="20"/>
              <w:jc w:val="left"/>
            </w:pPr>
            <w:r/>
            <w:r>
              <w:rPr>
                <w:rFonts w:ascii="Times New Roman" w:hAnsi="Times New Roman" w:eastAsia="Times New Roman"/>
                <w:b w:val="0"/>
                <w:i w:val="0"/>
                <w:sz w:val="17"/>
              </w:rPr>
              <w:t>19%</w:t>
            </w:r>
          </w:p>
        </w:tc>
        <w:tc>
          <w:tcPr>
            <w:tcW w:type="dxa" w:w="1608"/>
            <w:shd w:val="clear" w:color="auto" w:fill="F3F7FB"/>
          </w:tcPr>
          <w:p>
            <w:pPr>
              <w:spacing w:after="20" w:before="20"/>
              <w:jc w:val="left"/>
            </w:pPr>
            <w:r/>
            <w:r>
              <w:rPr>
                <w:rFonts w:ascii="Times New Roman" w:hAnsi="Times New Roman" w:eastAsia="Times New Roman"/>
                <w:b w:val="0"/>
                <w:i w:val="0"/>
                <w:sz w:val="17"/>
              </w:rPr>
              <w:t>42% / 62%</w:t>
            </w:r>
          </w:p>
        </w:tc>
        <w:tc>
          <w:tcPr>
            <w:tcW w:type="dxa" w:w="1608"/>
            <w:shd w:val="clear" w:color="auto" w:fill="F3F7FB"/>
          </w:tcPr>
          <w:p>
            <w:pPr>
              <w:spacing w:after="20" w:before="20"/>
              <w:jc w:val="left"/>
            </w:pPr>
            <w:r/>
            <w:r>
              <w:rPr>
                <w:rFonts w:ascii="Times New Roman" w:hAnsi="Times New Roman" w:eastAsia="Times New Roman"/>
                <w:b w:val="0"/>
                <w:i w:val="0"/>
                <w:sz w:val="17"/>
              </w:rPr>
              <w:t>37% / 46%</w:t>
            </w:r>
          </w:p>
        </w:tc>
        <w:tc>
          <w:tcPr>
            <w:tcW w:type="dxa" w:w="1608"/>
            <w:shd w:val="clear" w:color="auto" w:fill="F3F7FB"/>
          </w:tcPr>
          <w:p>
            <w:pPr>
              <w:spacing w:after="20" w:before="20"/>
              <w:jc w:val="left"/>
            </w:pPr>
            <w:r/>
            <w:r>
              <w:rPr>
                <w:rFonts w:ascii="Times New Roman" w:hAnsi="Times New Roman" w:eastAsia="Times New Roman"/>
                <w:b w:val="0"/>
                <w:i w:val="0"/>
                <w:sz w:val="17"/>
              </w:rPr>
              <w:t>4%</w:t>
            </w:r>
          </w:p>
        </w:tc>
      </w:tr>
    </w:tbl>
    <w:p>
      <w:pPr>
        <w:keepNext w:val="0"/>
        <w:spacing w:before="0" w:after="80"/>
        <w:jc w:val="both"/>
      </w:pPr>
    </w:p>
    <w:p>
      <w:pPr>
        <w:keepNext/>
        <w:spacing w:before="80" w:after="40"/>
        <w:jc w:val="center"/>
      </w:pPr>
      <w:r>
        <w:drawing>
          <wp:inline xmlns:a="http://schemas.openxmlformats.org/drawingml/2006/main" xmlns:pic="http://schemas.openxmlformats.org/drawingml/2006/picture">
            <wp:extent cx="4023360" cy="262393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023360" cy="2623930"/>
                    </a:xfrm>
                    <a:prstGeom prst="rect"/>
                  </pic:spPr>
                </pic:pic>
              </a:graphicData>
            </a:graphic>
          </wp:inline>
        </w:drawing>
      </w:r>
    </w:p>
    <w:p>
      <w:pPr>
        <w:keepNext w:val="0"/>
        <w:spacing w:before="40" w:after="160"/>
        <w:jc w:val="center"/>
      </w:pPr>
      <w:r>
        <w:rPr>
          <w:rFonts w:ascii="Times New Roman" w:hAnsi="Times New Roman" w:eastAsia="Times New Roman"/>
          <w:b/>
          <w:i w:val="0"/>
          <w:color w:val="1F4E79"/>
          <w:sz w:val="17"/>
        </w:rPr>
        <w:t>Figure 2. Number of readers who marked each matched cell (radius 1.85 percent of image size, 7,470 cells). The Chao2 estimate puts the number of cells no reader marked at about 2,300.</w:t>
      </w:r>
    </w:p>
    <w:p>
      <w:pPr>
        <w:keepNext/>
        <w:spacing w:before="80" w:after="40"/>
        <w:jc w:val="center"/>
      </w:pPr>
      <w:r>
        <w:drawing>
          <wp:inline xmlns:a="http://schemas.openxmlformats.org/drawingml/2006/main" xmlns:pic="http://schemas.openxmlformats.org/drawingml/2006/picture">
            <wp:extent cx="5760720" cy="297327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2973275"/>
                    </a:xfrm>
                    <a:prstGeom prst="rect"/>
                  </pic:spPr>
                </pic:pic>
              </a:graphicData>
            </a:graphic>
          </wp:inline>
        </w:drawing>
      </w:r>
    </w:p>
    <w:p>
      <w:pPr>
        <w:keepNext w:val="0"/>
        <w:spacing w:before="40" w:after="160"/>
        <w:jc w:val="center"/>
      </w:pPr>
      <w:r>
        <w:rPr>
          <w:rFonts w:ascii="Times New Roman" w:hAnsi="Times New Roman" w:eastAsia="Times New Roman"/>
          <w:b/>
          <w:i w:val="0"/>
          <w:color w:val="1F4E79"/>
          <w:sz w:val="17"/>
        </w:rPr>
        <w:t>Figure 3. Share of cells marked by someone else that each reader also marked, by cell class group.</w:t>
      </w:r>
    </w:p>
    <w:p>
      <w:pPr>
        <w:keepNext w:val="0"/>
        <w:spacing w:before="0" w:after="120"/>
        <w:jc w:val="both"/>
      </w:pPr>
      <w:r>
        <w:rPr>
          <w:rFonts w:ascii="Times New Roman" w:hAnsi="Times New Roman" w:eastAsia="Times New Roman"/>
          <w:b w:val="0"/>
          <w:i w:val="0"/>
          <w:sz w:val="20"/>
        </w:rPr>
        <w:t>Among cells that at least two other readers marked, annotator_4 skipped 1,622 (699 of them called lesions by the majority) and annotator_3 skipped 1,040 (468 lesion-called); annotator_1 skipped 344 and annotator_2 805, most of them non-lesion. Marks that fall just outside the radius (1.85 to 4 percent from another reader's mark) were only 1 to 4 percent of each reader's marks, so a stricter matching radius does not explain the lesion gap. Figure 4 (left) shows the skipped cells by reader. A capture-recapture (Chao2) lower bound [17] suggested roughly 2,300 cells that no reader marked, about a quarter of the estimated total; this estimate assumes independent readers and is indicative only.</w:t>
      </w:r>
    </w:p>
    <w:p>
      <w:pPr>
        <w:keepNext/>
        <w:spacing w:before="120" w:after="60"/>
        <w:jc w:val="left"/>
      </w:pPr>
      <w:r>
        <w:rPr>
          <w:rFonts w:ascii="Times New Roman" w:hAnsi="Times New Roman" w:eastAsia="Times New Roman"/>
          <w:b/>
          <w:i w:val="0"/>
          <w:color w:val="1F4E79"/>
          <w:sz w:val="20"/>
        </w:rPr>
        <w:t>5.2 Solo marks mostly sit on cell-like objects</w:t>
      </w:r>
    </w:p>
    <w:p>
      <w:pPr>
        <w:keepNext w:val="0"/>
        <w:spacing w:before="0" w:after="120"/>
        <w:jc w:val="both"/>
      </w:pPr>
      <w:r>
        <w:rPr>
          <w:rFonts w:ascii="Times New Roman" w:hAnsi="Times New Roman" w:eastAsia="Times New Roman"/>
          <w:b w:val="0"/>
          <w:i w:val="0"/>
          <w:sz w:val="20"/>
        </w:rPr>
        <w:t>A zero-truncated mixture of real and spurious cells separated reader styles (probability of marking a real cell for non-lesion in sparse patches versus lesion in dense patches: annotator_1 0.97 to 0.90, annotator_4 0.82 to 0.62) but assigned almost every solo mark to the spurious type. Figure 5 shows the fitted probabilities and the fit to the readers-per-cell distribution. That follows from its two-type structure, and it did not fit the observed readers-per-cell distribution (three-reader cells: 1,239 observed, 1,440 expected). The image check was therefore used. A classifier separated consensus cells from background well (median score 1.0 versus 0.0; 4 percent of background above the threshold of 0.81). The share of solo marks above the threshold (Figure 4, right) was 57 percent for annotator_1 (1,174 solo marks), 47 percent for annotator_2 (1,021), 52 percent for annotator_3 (392) and 70 percent for annotator_4 (116). A first run in a notebook, using a subsample of crops, gave 53 to 73 percent; these figures use all crops. Between about half and two thirds of solo marks therefore sit on cell-like objects, against 4 percent of background, which is more consistent with selective labelling than with marks on empty background for those marks, though not for all of them. A cell-like score shows that a cell is centred at the mark, not that it should have been marked.</w:t>
      </w:r>
    </w:p>
    <w:p>
      <w:pPr>
        <w:keepNext/>
        <w:spacing w:before="80" w:after="40"/>
        <w:jc w:val="center"/>
      </w:pPr>
      <w:r>
        <w:drawing>
          <wp:inline xmlns:a="http://schemas.openxmlformats.org/drawingml/2006/main" xmlns:pic="http://schemas.openxmlformats.org/drawingml/2006/picture">
            <wp:extent cx="57607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2468880"/>
                    </a:xfrm>
                    <a:prstGeom prst="rect"/>
                  </pic:spPr>
                </pic:pic>
              </a:graphicData>
            </a:graphic>
          </wp:inline>
        </w:drawing>
      </w:r>
    </w:p>
    <w:p>
      <w:pPr>
        <w:keepNext w:val="0"/>
        <w:spacing w:before="40" w:after="160"/>
        <w:jc w:val="center"/>
      </w:pPr>
      <w:r>
        <w:rPr>
          <w:rFonts w:ascii="Times New Roman" w:hAnsi="Times New Roman" w:eastAsia="Times New Roman"/>
          <w:b/>
          <w:i w:val="0"/>
          <w:color w:val="1F4E79"/>
          <w:sz w:val="17"/>
        </w:rPr>
        <w:t>Figure 4. Left: cells skipped by each reader although at least two other readers marked them, split by whether the cell was called lesion. Right: share of each reader's solo marks that the image check scored as cell-like; the dashed line is the share of background points above the same threshold.</w:t>
      </w:r>
    </w:p>
    <w:p>
      <w:pPr>
        <w:keepNext/>
        <w:spacing w:before="80" w:after="40"/>
        <w:jc w:val="center"/>
      </w:pPr>
      <w:r>
        <w:drawing>
          <wp:inline xmlns:a="http://schemas.openxmlformats.org/drawingml/2006/main" xmlns:pic="http://schemas.openxmlformats.org/drawingml/2006/picture">
            <wp:extent cx="57607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2468880"/>
                    </a:xfrm>
                    <a:prstGeom prst="rect"/>
                  </pic:spPr>
                </pic:pic>
              </a:graphicData>
            </a:graphic>
          </wp:inline>
        </w:drawing>
      </w:r>
    </w:p>
    <w:p>
      <w:pPr>
        <w:keepNext w:val="0"/>
        <w:spacing w:before="40" w:after="160"/>
        <w:jc w:val="center"/>
      </w:pPr>
      <w:r>
        <w:rPr>
          <w:rFonts w:ascii="Times New Roman" w:hAnsi="Times New Roman" w:eastAsia="Times New Roman"/>
          <w:b/>
          <w:i w:val="0"/>
          <w:color w:val="1F4E79"/>
          <w:sz w:val="17"/>
        </w:rPr>
        <w:t>Figure 5. Zero-truncated mixture of real and spurious cells. Left: fitted probability that each reader marks a real cell (by class and patch density) and a spurious one. Right: observed against model-expected numbers of readers per cell.</w:t>
      </w:r>
    </w:p>
    <w:p>
      <w:pPr>
        <w:keepNext/>
        <w:spacing w:before="120" w:after="60"/>
        <w:jc w:val="left"/>
      </w:pPr>
      <w:r>
        <w:rPr>
          <w:rFonts w:ascii="Times New Roman" w:hAnsi="Times New Roman" w:eastAsia="Times New Roman"/>
          <w:b/>
          <w:i w:val="0"/>
          <w:color w:val="1F4E79"/>
          <w:sz w:val="20"/>
        </w:rPr>
        <w:t>5.3 Reader-aware correction</w:t>
      </w:r>
    </w:p>
    <w:p>
      <w:pPr>
        <w:keepNext w:val="0"/>
        <w:spacing w:before="0" w:after="120"/>
        <w:jc w:val="both"/>
      </w:pPr>
      <w:r>
        <w:rPr>
          <w:rFonts w:ascii="Times New Roman" w:hAnsi="Times New Roman" w:eastAsia="Times New Roman"/>
          <w:b w:val="0"/>
          <w:i w:val="0"/>
          <w:sz w:val="20"/>
        </w:rPr>
        <w:t>Table 3 and Figure 7 give lesion-cell average precision relative to naive training, with the two-reader reference. Naive lesion average precision was 0.616 (ResNet18) and 0.635 (DINOv2-small); training on consensus labels gave 0.652 and 0.667, so the possible gain is about 0.04. Figure 6 shows lesion average precision for every method.</w:t>
      </w:r>
    </w:p>
    <w:p>
      <w:pPr>
        <w:keepNext/>
        <w:spacing w:before="120" w:after="60"/>
        <w:jc w:val="left"/>
      </w:pPr>
      <w:r>
        <w:rPr>
          <w:rFonts w:ascii="Times New Roman" w:hAnsi="Times New Roman" w:eastAsia="Times New Roman"/>
          <w:b/>
          <w:i w:val="0"/>
          <w:color w:val="1F4E79"/>
          <w:sz w:val="17"/>
        </w:rPr>
        <w:t>Table 3. Change in lesion average precision relative to naive training (95 percent slide-level bootstrap intervals; models held fixed). The class-aware correction is not distinguishable from naive training; corrections using only reader identity or a single rate are worse. In an earlier run on a different machine the class-aware correction gave +0.026 [+0.003, +0.056] with ResNet18, so its interval crossed zero between runs.</w:t>
      </w:r>
    </w:p>
    <w:tbl>
      <w:tblPr>
        <w:tblStyle w:val="TableGrid"/>
        <w:tblW w:type="auto" w:w="0"/>
        <w:tblLayout w:type="fixed"/>
        <w:tblLook w:firstColumn="1" w:firstRow="1" w:lastColumn="0" w:lastRow="0" w:noHBand="0" w:noVBand="1" w:val="04A0"/>
      </w:tblPr>
      <w:tblGrid>
        <w:gridCol w:w="3216"/>
        <w:gridCol w:w="3216"/>
        <w:gridCol w:w="3216"/>
      </w:tblGrid>
      <w:tr>
        <w:tc>
          <w:tcPr>
            <w:tcW w:type="dxa" w:w="3216"/>
            <w:shd w:val="clear" w:color="auto" w:fill="1F4E79"/>
          </w:tcPr>
          <w:p>
            <w:pPr>
              <w:spacing w:after="20" w:before="20"/>
              <w:jc w:val="left"/>
            </w:pPr>
            <w:r/>
            <w:r>
              <w:rPr>
                <w:rFonts w:ascii="Times New Roman" w:hAnsi="Times New Roman" w:eastAsia="Times New Roman"/>
                <w:b/>
                <w:i w:val="0"/>
                <w:color w:val="FFFFFF"/>
                <w:sz w:val="17"/>
              </w:rPr>
              <w:t>Method</w:t>
            </w:r>
          </w:p>
        </w:tc>
        <w:tc>
          <w:tcPr>
            <w:tcW w:type="dxa" w:w="3216"/>
            <w:shd w:val="clear" w:color="auto" w:fill="1F4E79"/>
          </w:tcPr>
          <w:p>
            <w:pPr>
              <w:spacing w:after="20" w:before="20"/>
              <w:jc w:val="left"/>
            </w:pPr>
            <w:r/>
            <w:r>
              <w:rPr>
                <w:rFonts w:ascii="Times New Roman" w:hAnsi="Times New Roman" w:eastAsia="Times New Roman"/>
                <w:b/>
                <w:i w:val="0"/>
                <w:color w:val="FFFFFF"/>
                <w:sz w:val="17"/>
              </w:rPr>
              <w:t>ResNet18</w:t>
            </w:r>
          </w:p>
        </w:tc>
        <w:tc>
          <w:tcPr>
            <w:tcW w:type="dxa" w:w="3216"/>
            <w:shd w:val="clear" w:color="auto" w:fill="1F4E79"/>
          </w:tcPr>
          <w:p>
            <w:pPr>
              <w:spacing w:after="20" w:before="20"/>
              <w:jc w:val="left"/>
            </w:pPr>
            <w:r/>
            <w:r>
              <w:rPr>
                <w:rFonts w:ascii="Times New Roman" w:hAnsi="Times New Roman" w:eastAsia="Times New Roman"/>
                <w:b/>
                <w:i w:val="0"/>
                <w:color w:val="FFFFFF"/>
                <w:sz w:val="17"/>
              </w:rPr>
              <w:t>DINOv2-small</w:t>
            </w:r>
          </w:p>
        </w:tc>
      </w:tr>
      <w:tr>
        <w:tc>
          <w:tcPr>
            <w:tcW w:type="dxa" w:w="3216"/>
          </w:tcPr>
          <w:p>
            <w:pPr>
              <w:spacing w:after="20" w:before="20"/>
              <w:jc w:val="left"/>
            </w:pPr>
            <w:r/>
            <w:r>
              <w:rPr>
                <w:rFonts w:ascii="Times New Roman" w:hAnsi="Times New Roman" w:eastAsia="Times New Roman"/>
                <w:b w:val="0"/>
                <w:i w:val="0"/>
                <w:sz w:val="17"/>
              </w:rPr>
              <w:t>Predicted class and density proxy</w:t>
            </w:r>
          </w:p>
        </w:tc>
        <w:tc>
          <w:tcPr>
            <w:tcW w:type="dxa" w:w="3216"/>
          </w:tcPr>
          <w:p>
            <w:pPr>
              <w:spacing w:after="20" w:before="20"/>
              <w:jc w:val="left"/>
            </w:pPr>
            <w:r/>
            <w:r>
              <w:rPr>
                <w:rFonts w:ascii="Times New Roman" w:hAnsi="Times New Roman" w:eastAsia="Times New Roman"/>
                <w:b w:val="0"/>
                <w:i w:val="0"/>
                <w:sz w:val="17"/>
              </w:rPr>
              <w:t>+0.019 [-0.003, +0.049]</w:t>
            </w:r>
          </w:p>
        </w:tc>
        <w:tc>
          <w:tcPr>
            <w:tcW w:type="dxa" w:w="3216"/>
          </w:tcPr>
          <w:p>
            <w:pPr>
              <w:spacing w:after="20" w:before="20"/>
              <w:jc w:val="left"/>
            </w:pPr>
            <w:r/>
            <w:r>
              <w:rPr>
                <w:rFonts w:ascii="Times New Roman" w:hAnsi="Times New Roman" w:eastAsia="Times New Roman"/>
                <w:b w:val="0"/>
                <w:i w:val="0"/>
                <w:sz w:val="17"/>
              </w:rPr>
              <w:t>+0.005 [-0.017, +0.028]</w:t>
            </w:r>
          </w:p>
        </w:tc>
      </w:tr>
      <w:tr>
        <w:tc>
          <w:tcPr>
            <w:tcW w:type="dxa" w:w="3216"/>
            <w:shd w:val="clear" w:color="auto" w:fill="F3F7FB"/>
          </w:tcPr>
          <w:p>
            <w:pPr>
              <w:spacing w:after="20" w:before="20"/>
              <w:jc w:val="left"/>
            </w:pPr>
            <w:r/>
            <w:r>
              <w:rPr>
                <w:rFonts w:ascii="Times New Roman" w:hAnsi="Times New Roman" w:eastAsia="Times New Roman"/>
                <w:b w:val="0"/>
                <w:i w:val="0"/>
                <w:sz w:val="17"/>
              </w:rPr>
              <w:t>Per-reader rate only</w:t>
            </w:r>
          </w:p>
        </w:tc>
        <w:tc>
          <w:tcPr>
            <w:tcW w:type="dxa" w:w="3216"/>
            <w:shd w:val="clear" w:color="auto" w:fill="F3F7FB"/>
          </w:tcPr>
          <w:p>
            <w:pPr>
              <w:spacing w:after="20" w:before="20"/>
              <w:jc w:val="left"/>
            </w:pPr>
            <w:r/>
            <w:r>
              <w:rPr>
                <w:rFonts w:ascii="Times New Roman" w:hAnsi="Times New Roman" w:eastAsia="Times New Roman"/>
                <w:b w:val="0"/>
                <w:i w:val="0"/>
                <w:sz w:val="17"/>
              </w:rPr>
              <w:t>-0.030 [-0.049, -0.010]</w:t>
            </w:r>
          </w:p>
        </w:tc>
        <w:tc>
          <w:tcPr>
            <w:tcW w:type="dxa" w:w="3216"/>
            <w:shd w:val="clear" w:color="auto" w:fill="F3F7FB"/>
          </w:tcPr>
          <w:p>
            <w:pPr>
              <w:spacing w:after="20" w:before="20"/>
              <w:jc w:val="left"/>
            </w:pPr>
            <w:r/>
            <w:r>
              <w:rPr>
                <w:rFonts w:ascii="Times New Roman" w:hAnsi="Times New Roman" w:eastAsia="Times New Roman"/>
                <w:b w:val="0"/>
                <w:i w:val="0"/>
                <w:sz w:val="17"/>
              </w:rPr>
              <w:t>-0.027 [-0.049, -0.009]</w:t>
            </w:r>
          </w:p>
        </w:tc>
      </w:tr>
      <w:tr>
        <w:tc>
          <w:tcPr>
            <w:tcW w:type="dxa" w:w="3216"/>
          </w:tcPr>
          <w:p>
            <w:pPr>
              <w:spacing w:after="20" w:before="20"/>
              <w:jc w:val="left"/>
            </w:pPr>
            <w:r/>
            <w:r>
              <w:rPr>
                <w:rFonts w:ascii="Times New Roman" w:hAnsi="Times New Roman" w:eastAsia="Times New Roman"/>
                <w:b w:val="0"/>
                <w:i w:val="0"/>
                <w:sz w:val="17"/>
              </w:rPr>
              <w:t>Constant rate</w:t>
            </w:r>
          </w:p>
        </w:tc>
        <w:tc>
          <w:tcPr>
            <w:tcW w:type="dxa" w:w="3216"/>
          </w:tcPr>
          <w:p>
            <w:pPr>
              <w:spacing w:after="20" w:before="20"/>
              <w:jc w:val="left"/>
            </w:pPr>
            <w:r/>
            <w:r>
              <w:rPr>
                <w:rFonts w:ascii="Times New Roman" w:hAnsi="Times New Roman" w:eastAsia="Times New Roman"/>
                <w:b w:val="0"/>
                <w:i w:val="0"/>
                <w:sz w:val="17"/>
              </w:rPr>
              <w:t>-0.025 [-0.040, -0.009]</w:t>
            </w:r>
          </w:p>
        </w:tc>
        <w:tc>
          <w:tcPr>
            <w:tcW w:type="dxa" w:w="3216"/>
          </w:tcPr>
          <w:p>
            <w:pPr>
              <w:spacing w:after="20" w:before="20"/>
              <w:jc w:val="left"/>
            </w:pPr>
            <w:r/>
            <w:r>
              <w:rPr>
                <w:rFonts w:ascii="Times New Roman" w:hAnsi="Times New Roman" w:eastAsia="Times New Roman"/>
                <w:b w:val="0"/>
                <w:i w:val="0"/>
                <w:sz w:val="17"/>
              </w:rPr>
              <w:t>-0.016 [-0.033, -0.002]</w:t>
            </w:r>
          </w:p>
        </w:tc>
      </w:tr>
      <w:tr>
        <w:tc>
          <w:tcPr>
            <w:tcW w:type="dxa" w:w="3216"/>
            <w:shd w:val="clear" w:color="auto" w:fill="F3F7FB"/>
          </w:tcPr>
          <w:p>
            <w:pPr>
              <w:spacing w:after="20" w:before="20"/>
              <w:jc w:val="left"/>
            </w:pPr>
            <w:r/>
            <w:r>
              <w:rPr>
                <w:rFonts w:ascii="Times New Roman" w:hAnsi="Times New Roman" w:eastAsia="Times New Roman"/>
                <w:b w:val="0"/>
                <w:i w:val="0"/>
                <w:sz w:val="17"/>
              </w:rPr>
              <w:t>Predicted class and density proxy, three-reader reference</w:t>
            </w:r>
          </w:p>
        </w:tc>
        <w:tc>
          <w:tcPr>
            <w:tcW w:type="dxa" w:w="3216"/>
            <w:shd w:val="clear" w:color="auto" w:fill="F3F7FB"/>
          </w:tcPr>
          <w:p>
            <w:pPr>
              <w:spacing w:after="20" w:before="20"/>
              <w:jc w:val="left"/>
            </w:pPr>
            <w:r/>
            <w:r>
              <w:rPr>
                <w:rFonts w:ascii="Times New Roman" w:hAnsi="Times New Roman" w:eastAsia="Times New Roman"/>
                <w:b w:val="0"/>
                <w:i w:val="0"/>
                <w:sz w:val="17"/>
              </w:rPr>
              <w:t>+0.022 [-0.003, +0.058]</w:t>
            </w:r>
          </w:p>
        </w:tc>
        <w:tc>
          <w:tcPr>
            <w:tcW w:type="dxa" w:w="3216"/>
            <w:shd w:val="clear" w:color="auto" w:fill="F3F7FB"/>
          </w:tcPr>
          <w:p>
            <w:pPr>
              <w:spacing w:after="20" w:before="20"/>
              <w:jc w:val="left"/>
            </w:pPr>
            <w:r/>
            <w:r>
              <w:rPr>
                <w:rFonts w:ascii="Times New Roman" w:hAnsi="Times New Roman" w:eastAsia="Times New Roman"/>
                <w:b w:val="0"/>
                <w:i w:val="0"/>
                <w:sz w:val="17"/>
              </w:rPr>
              <w:t>+0.015 [-0.019, +0.052]</w:t>
            </w:r>
          </w:p>
        </w:tc>
      </w:tr>
    </w:tbl>
    <w:p>
      <w:pPr>
        <w:keepNext w:val="0"/>
        <w:spacing w:before="0" w:after="80"/>
        <w:jc w:val="both"/>
      </w:pPr>
    </w:p>
    <w:p>
      <w:pPr>
        <w:keepNext/>
        <w:spacing w:before="80" w:after="40"/>
        <w:jc w:val="center"/>
      </w:pPr>
      <w:r>
        <w:drawing>
          <wp:inline xmlns:a="http://schemas.openxmlformats.org/drawingml/2006/main" xmlns:pic="http://schemas.openxmlformats.org/drawingml/2006/picture">
            <wp:extent cx="5760720" cy="278744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2787445"/>
                    </a:xfrm>
                    <a:prstGeom prst="rect"/>
                  </pic:spPr>
                </pic:pic>
              </a:graphicData>
            </a:graphic>
          </wp:inline>
        </w:drawing>
      </w:r>
    </w:p>
    <w:p>
      <w:pPr>
        <w:keepNext w:val="0"/>
        <w:spacing w:before="40" w:after="160"/>
        <w:jc w:val="center"/>
      </w:pPr>
      <w:r>
        <w:rPr>
          <w:rFonts w:ascii="Times New Roman" w:hAnsi="Times New Roman" w:eastAsia="Times New Roman"/>
          <w:b/>
          <w:i w:val="0"/>
          <w:color w:val="1F4E79"/>
          <w:sz w:val="17"/>
        </w:rPr>
        <w:t>Figure 6. Lesion average precision by training method under the two-reader reference, with frozen ResNet18 and DINOv2-small features. PU true* and oracle are reference points that use information not available in practice.</w:t>
      </w:r>
    </w:p>
    <w:p>
      <w:pPr>
        <w:keepNext/>
        <w:spacing w:before="80" w:after="40"/>
        <w:jc w:val="center"/>
      </w:pPr>
      <w:r>
        <w:drawing>
          <wp:inline xmlns:a="http://schemas.openxmlformats.org/drawingml/2006/main" xmlns:pic="http://schemas.openxmlformats.org/drawingml/2006/picture">
            <wp:extent cx="5760720" cy="260161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2601615"/>
                    </a:xfrm>
                    <a:prstGeom prst="rect"/>
                  </pic:spPr>
                </pic:pic>
              </a:graphicData>
            </a:graphic>
          </wp:inline>
        </w:drawing>
      </w:r>
    </w:p>
    <w:p>
      <w:pPr>
        <w:keepNext w:val="0"/>
        <w:spacing w:before="40" w:after="160"/>
        <w:jc w:val="center"/>
      </w:pPr>
      <w:r>
        <w:rPr>
          <w:rFonts w:ascii="Times New Roman" w:hAnsi="Times New Roman" w:eastAsia="Times New Roman"/>
          <w:b/>
          <w:i w:val="0"/>
          <w:color w:val="1F4E79"/>
          <w:sz w:val="17"/>
        </w:rPr>
        <w:t>Figure 7. Change in lesion average precision relative to naive training with 95 percent slide-level intervals, two features and three corrections.</w:t>
      </w:r>
    </w:p>
    <w:p>
      <w:pPr>
        <w:keepNext/>
        <w:spacing w:before="120" w:after="60"/>
        <w:jc w:val="left"/>
      </w:pPr>
      <w:r>
        <w:rPr>
          <w:rFonts w:ascii="Times New Roman" w:hAnsi="Times New Roman" w:eastAsia="Times New Roman"/>
          <w:b/>
          <w:i w:val="0"/>
          <w:color w:val="1F4E79"/>
          <w:sz w:val="20"/>
        </w:rPr>
        <w:t>5.4 Deferral</w:t>
      </w:r>
    </w:p>
    <w:p>
      <w:pPr>
        <w:keepNext w:val="0"/>
        <w:spacing w:before="0" w:after="120"/>
        <w:jc w:val="both"/>
      </w:pPr>
      <w:r>
        <w:rPr>
          <w:rFonts w:ascii="Times New Roman" w:hAnsi="Times New Roman" w:eastAsia="Times New Roman"/>
          <w:b w:val="0"/>
          <w:i w:val="0"/>
          <w:sz w:val="20"/>
        </w:rPr>
        <w:t>Table 4 and Figure 8 give the error among accepted cells at each coverage for model confidence, predicted reader disagreement, their combination and random ranking.</w:t>
      </w:r>
    </w:p>
    <w:p>
      <w:pPr>
        <w:keepNext/>
        <w:spacing w:before="120" w:after="60"/>
        <w:jc w:val="left"/>
      </w:pPr>
      <w:r>
        <w:rPr>
          <w:rFonts w:ascii="Times New Roman" w:hAnsi="Times New Roman" w:eastAsia="Times New Roman"/>
          <w:b/>
          <w:i w:val="0"/>
          <w:color w:val="1F4E79"/>
          <w:sz w:val="17"/>
        </w:rPr>
        <w:t>Table 4. Error among accepted cells (reference: marked by at least two readers; error at full coverage 0.227 and 0.218). The combined signal lowered error relative to confidence by 0.016 [0.011 to 0.022] and 0.015 [0.010 to 0.021] at coverage 0.5, and by 0.004 at coverage 0.9 (intervals exclude zero). The disagreement head's predictions correlated 0.76 and 0.78 with the true share of readers who marked a cell. Because the reference is defined by the same readers, part of this gain is circular.</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2412"/>
            <w:shd w:val="clear" w:color="auto" w:fill="1F4E79"/>
          </w:tcPr>
          <w:p>
            <w:pPr>
              <w:spacing w:after="20" w:before="20"/>
              <w:jc w:val="left"/>
            </w:pPr>
            <w:r/>
            <w:r>
              <w:rPr>
                <w:rFonts w:ascii="Times New Roman" w:hAnsi="Times New Roman" w:eastAsia="Times New Roman"/>
                <w:b/>
                <w:i w:val="0"/>
                <w:color w:val="FFFFFF"/>
                <w:sz w:val="17"/>
              </w:rPr>
              <w:t>Coverage</w:t>
            </w:r>
          </w:p>
        </w:tc>
        <w:tc>
          <w:tcPr>
            <w:tcW w:type="dxa" w:w="2412"/>
            <w:shd w:val="clear" w:color="auto" w:fill="1F4E79"/>
          </w:tcPr>
          <w:p>
            <w:pPr>
              <w:spacing w:after="20" w:before="20"/>
              <w:jc w:val="left"/>
            </w:pPr>
            <w:r/>
            <w:r>
              <w:rPr>
                <w:rFonts w:ascii="Times New Roman" w:hAnsi="Times New Roman" w:eastAsia="Times New Roman"/>
                <w:b/>
                <w:i w:val="0"/>
                <w:color w:val="FFFFFF"/>
                <w:sz w:val="17"/>
              </w:rPr>
              <w:t>Signal</w:t>
            </w:r>
          </w:p>
        </w:tc>
        <w:tc>
          <w:tcPr>
            <w:tcW w:type="dxa" w:w="2412"/>
            <w:shd w:val="clear" w:color="auto" w:fill="1F4E79"/>
          </w:tcPr>
          <w:p>
            <w:pPr>
              <w:spacing w:after="20" w:before="20"/>
              <w:jc w:val="left"/>
            </w:pPr>
            <w:r/>
            <w:r>
              <w:rPr>
                <w:rFonts w:ascii="Times New Roman" w:hAnsi="Times New Roman" w:eastAsia="Times New Roman"/>
                <w:b/>
                <w:i w:val="0"/>
                <w:color w:val="FFFFFF"/>
                <w:sz w:val="17"/>
              </w:rPr>
              <w:t>ResNet18</w:t>
            </w:r>
          </w:p>
        </w:tc>
        <w:tc>
          <w:tcPr>
            <w:tcW w:type="dxa" w:w="2412"/>
            <w:shd w:val="clear" w:color="auto" w:fill="1F4E79"/>
          </w:tcPr>
          <w:p>
            <w:pPr>
              <w:spacing w:after="20" w:before="20"/>
              <w:jc w:val="left"/>
            </w:pPr>
            <w:r/>
            <w:r>
              <w:rPr>
                <w:rFonts w:ascii="Times New Roman" w:hAnsi="Times New Roman" w:eastAsia="Times New Roman"/>
                <w:b/>
                <w:i w:val="0"/>
                <w:color w:val="FFFFFF"/>
                <w:sz w:val="17"/>
              </w:rPr>
              <w:t>DINOv2-small</w:t>
            </w:r>
          </w:p>
        </w:tc>
      </w:tr>
      <w:tr>
        <w:tc>
          <w:tcPr>
            <w:tcW w:type="dxa" w:w="2412"/>
          </w:tcPr>
          <w:p>
            <w:pPr>
              <w:spacing w:after="20" w:before="20"/>
              <w:jc w:val="left"/>
            </w:pPr>
            <w:r/>
            <w:r>
              <w:rPr>
                <w:rFonts w:ascii="Times New Roman" w:hAnsi="Times New Roman" w:eastAsia="Times New Roman"/>
                <w:b w:val="0"/>
                <w:i w:val="0"/>
                <w:sz w:val="17"/>
              </w:rPr>
              <w:t>0.5</w:t>
            </w:r>
          </w:p>
        </w:tc>
        <w:tc>
          <w:tcPr>
            <w:tcW w:type="dxa" w:w="2412"/>
          </w:tcPr>
          <w:p>
            <w:pPr>
              <w:spacing w:after="20" w:before="20"/>
              <w:jc w:val="left"/>
            </w:pPr>
            <w:r/>
            <w:r>
              <w:rPr>
                <w:rFonts w:ascii="Times New Roman" w:hAnsi="Times New Roman" w:eastAsia="Times New Roman"/>
                <w:b w:val="0"/>
                <w:i w:val="0"/>
                <w:sz w:val="17"/>
              </w:rPr>
              <w:t>Confidence</w:t>
            </w:r>
          </w:p>
        </w:tc>
        <w:tc>
          <w:tcPr>
            <w:tcW w:type="dxa" w:w="2412"/>
          </w:tcPr>
          <w:p>
            <w:pPr>
              <w:spacing w:after="20" w:before="20"/>
              <w:jc w:val="left"/>
            </w:pPr>
            <w:r/>
            <w:r>
              <w:rPr>
                <w:rFonts w:ascii="Times New Roman" w:hAnsi="Times New Roman" w:eastAsia="Times New Roman"/>
                <w:b w:val="0"/>
                <w:i w:val="0"/>
                <w:sz w:val="17"/>
              </w:rPr>
              <w:t>0.091</w:t>
            </w:r>
          </w:p>
        </w:tc>
        <w:tc>
          <w:tcPr>
            <w:tcW w:type="dxa" w:w="2412"/>
          </w:tcPr>
          <w:p>
            <w:pPr>
              <w:spacing w:after="20" w:before="20"/>
              <w:jc w:val="left"/>
            </w:pPr>
            <w:r/>
            <w:r>
              <w:rPr>
                <w:rFonts w:ascii="Times New Roman" w:hAnsi="Times New Roman" w:eastAsia="Times New Roman"/>
                <w:b w:val="0"/>
                <w:i w:val="0"/>
                <w:sz w:val="17"/>
              </w:rPr>
              <w:t>0.083</w:t>
            </w:r>
          </w:p>
        </w:tc>
      </w:tr>
      <w:tr>
        <w:tc>
          <w:tcPr>
            <w:tcW w:type="dxa" w:w="2412"/>
            <w:shd w:val="clear" w:color="auto" w:fill="F3F7FB"/>
          </w:tcPr>
          <w:p>
            <w:pPr>
              <w:spacing w:after="20" w:before="20"/>
              <w:jc w:val="left"/>
            </w:pPr>
            <w:r/>
            <w:r>
              <w:rPr>
                <w:rFonts w:ascii="Times New Roman" w:hAnsi="Times New Roman" w:eastAsia="Times New Roman"/>
                <w:b w:val="0"/>
                <w:i w:val="0"/>
                <w:sz w:val="17"/>
              </w:rPr>
              <w:t>0.5</w:t>
            </w:r>
          </w:p>
        </w:tc>
        <w:tc>
          <w:tcPr>
            <w:tcW w:type="dxa" w:w="2412"/>
            <w:shd w:val="clear" w:color="auto" w:fill="F3F7FB"/>
          </w:tcPr>
          <w:p>
            <w:pPr>
              <w:spacing w:after="20" w:before="20"/>
              <w:jc w:val="left"/>
            </w:pPr>
            <w:r/>
            <w:r>
              <w:rPr>
                <w:rFonts w:ascii="Times New Roman" w:hAnsi="Times New Roman" w:eastAsia="Times New Roman"/>
                <w:b w:val="0"/>
                <w:i w:val="0"/>
                <w:sz w:val="17"/>
              </w:rPr>
              <w:t>Predicted disagreement</w:t>
            </w:r>
          </w:p>
        </w:tc>
        <w:tc>
          <w:tcPr>
            <w:tcW w:type="dxa" w:w="2412"/>
            <w:shd w:val="clear" w:color="auto" w:fill="F3F7FB"/>
          </w:tcPr>
          <w:p>
            <w:pPr>
              <w:spacing w:after="20" w:before="20"/>
              <w:jc w:val="left"/>
            </w:pPr>
            <w:r/>
            <w:r>
              <w:rPr>
                <w:rFonts w:ascii="Times New Roman" w:hAnsi="Times New Roman" w:eastAsia="Times New Roman"/>
                <w:b w:val="0"/>
                <w:i w:val="0"/>
                <w:sz w:val="17"/>
              </w:rPr>
              <w:t>0.078</w:t>
            </w:r>
          </w:p>
        </w:tc>
        <w:tc>
          <w:tcPr>
            <w:tcW w:type="dxa" w:w="2412"/>
            <w:shd w:val="clear" w:color="auto" w:fill="F3F7FB"/>
          </w:tcPr>
          <w:p>
            <w:pPr>
              <w:spacing w:after="20" w:before="20"/>
              <w:jc w:val="left"/>
            </w:pPr>
            <w:r/>
            <w:r>
              <w:rPr>
                <w:rFonts w:ascii="Times New Roman" w:hAnsi="Times New Roman" w:eastAsia="Times New Roman"/>
                <w:b w:val="0"/>
                <w:i w:val="0"/>
                <w:sz w:val="17"/>
              </w:rPr>
              <w:t>0.071</w:t>
            </w:r>
          </w:p>
        </w:tc>
      </w:tr>
      <w:tr>
        <w:tc>
          <w:tcPr>
            <w:tcW w:type="dxa" w:w="2412"/>
          </w:tcPr>
          <w:p>
            <w:pPr>
              <w:spacing w:after="20" w:before="20"/>
              <w:jc w:val="left"/>
            </w:pPr>
            <w:r/>
            <w:r>
              <w:rPr>
                <w:rFonts w:ascii="Times New Roman" w:hAnsi="Times New Roman" w:eastAsia="Times New Roman"/>
                <w:b w:val="0"/>
                <w:i w:val="0"/>
                <w:sz w:val="17"/>
              </w:rPr>
              <w:t>0.5</w:t>
            </w:r>
          </w:p>
        </w:tc>
        <w:tc>
          <w:tcPr>
            <w:tcW w:type="dxa" w:w="2412"/>
          </w:tcPr>
          <w:p>
            <w:pPr>
              <w:spacing w:after="20" w:before="20"/>
              <w:jc w:val="left"/>
            </w:pPr>
            <w:r/>
            <w:r>
              <w:rPr>
                <w:rFonts w:ascii="Times New Roman" w:hAnsi="Times New Roman" w:eastAsia="Times New Roman"/>
                <w:b w:val="0"/>
                <w:i w:val="0"/>
                <w:sz w:val="17"/>
              </w:rPr>
              <w:t>Both (mean rank)</w:t>
            </w:r>
          </w:p>
        </w:tc>
        <w:tc>
          <w:tcPr>
            <w:tcW w:type="dxa" w:w="2412"/>
          </w:tcPr>
          <w:p>
            <w:pPr>
              <w:spacing w:after="20" w:before="20"/>
              <w:jc w:val="left"/>
            </w:pPr>
            <w:r/>
            <w:r>
              <w:rPr>
                <w:rFonts w:ascii="Times New Roman" w:hAnsi="Times New Roman" w:eastAsia="Times New Roman"/>
                <w:b w:val="0"/>
                <w:i w:val="0"/>
                <w:sz w:val="17"/>
              </w:rPr>
              <w:t>0.076</w:t>
            </w:r>
          </w:p>
        </w:tc>
        <w:tc>
          <w:tcPr>
            <w:tcW w:type="dxa" w:w="2412"/>
          </w:tcPr>
          <w:p>
            <w:pPr>
              <w:spacing w:after="20" w:before="20"/>
              <w:jc w:val="left"/>
            </w:pPr>
            <w:r/>
            <w:r>
              <w:rPr>
                <w:rFonts w:ascii="Times New Roman" w:hAnsi="Times New Roman" w:eastAsia="Times New Roman"/>
                <w:b w:val="0"/>
                <w:i w:val="0"/>
                <w:sz w:val="17"/>
              </w:rPr>
              <w:t>0.068</w:t>
            </w:r>
          </w:p>
        </w:tc>
      </w:tr>
      <w:tr>
        <w:tc>
          <w:tcPr>
            <w:tcW w:type="dxa" w:w="2412"/>
            <w:shd w:val="clear" w:color="auto" w:fill="F3F7FB"/>
          </w:tcPr>
          <w:p>
            <w:pPr>
              <w:spacing w:after="20" w:before="20"/>
              <w:jc w:val="left"/>
            </w:pPr>
            <w:r/>
            <w:r>
              <w:rPr>
                <w:rFonts w:ascii="Times New Roman" w:hAnsi="Times New Roman" w:eastAsia="Times New Roman"/>
                <w:b w:val="0"/>
                <w:i w:val="0"/>
                <w:sz w:val="17"/>
              </w:rPr>
              <w:t>0.5</w:t>
            </w:r>
          </w:p>
        </w:tc>
        <w:tc>
          <w:tcPr>
            <w:tcW w:type="dxa" w:w="2412"/>
            <w:shd w:val="clear" w:color="auto" w:fill="F3F7FB"/>
          </w:tcPr>
          <w:p>
            <w:pPr>
              <w:spacing w:after="20" w:before="20"/>
              <w:jc w:val="left"/>
            </w:pPr>
            <w:r/>
            <w:r>
              <w:rPr>
                <w:rFonts w:ascii="Times New Roman" w:hAnsi="Times New Roman" w:eastAsia="Times New Roman"/>
                <w:b w:val="0"/>
                <w:i w:val="0"/>
                <w:sz w:val="17"/>
              </w:rPr>
              <w:t>Random</w:t>
            </w:r>
          </w:p>
        </w:tc>
        <w:tc>
          <w:tcPr>
            <w:tcW w:type="dxa" w:w="2412"/>
            <w:shd w:val="clear" w:color="auto" w:fill="F3F7FB"/>
          </w:tcPr>
          <w:p>
            <w:pPr>
              <w:spacing w:after="20" w:before="20"/>
              <w:jc w:val="left"/>
            </w:pPr>
            <w:r/>
            <w:r>
              <w:rPr>
                <w:rFonts w:ascii="Times New Roman" w:hAnsi="Times New Roman" w:eastAsia="Times New Roman"/>
                <w:b w:val="0"/>
                <w:i w:val="0"/>
                <w:sz w:val="17"/>
              </w:rPr>
              <w:t>0.229</w:t>
            </w:r>
          </w:p>
        </w:tc>
        <w:tc>
          <w:tcPr>
            <w:tcW w:type="dxa" w:w="2412"/>
            <w:shd w:val="clear" w:color="auto" w:fill="F3F7FB"/>
          </w:tcPr>
          <w:p>
            <w:pPr>
              <w:spacing w:after="20" w:before="20"/>
              <w:jc w:val="left"/>
            </w:pPr>
            <w:r/>
            <w:r>
              <w:rPr>
                <w:rFonts w:ascii="Times New Roman" w:hAnsi="Times New Roman" w:eastAsia="Times New Roman"/>
                <w:b w:val="0"/>
                <w:i w:val="0"/>
                <w:sz w:val="17"/>
              </w:rPr>
              <w:t>0.221</w:t>
            </w:r>
          </w:p>
        </w:tc>
      </w:tr>
      <w:tr>
        <w:tc>
          <w:tcPr>
            <w:tcW w:type="dxa" w:w="2412"/>
          </w:tcPr>
          <w:p>
            <w:pPr>
              <w:spacing w:after="20" w:before="20"/>
              <w:jc w:val="left"/>
            </w:pPr>
            <w:r/>
            <w:r>
              <w:rPr>
                <w:rFonts w:ascii="Times New Roman" w:hAnsi="Times New Roman" w:eastAsia="Times New Roman"/>
                <w:b w:val="0"/>
                <w:i w:val="0"/>
                <w:sz w:val="17"/>
              </w:rPr>
              <w:t>0.7</w:t>
            </w:r>
          </w:p>
        </w:tc>
        <w:tc>
          <w:tcPr>
            <w:tcW w:type="dxa" w:w="2412"/>
          </w:tcPr>
          <w:p>
            <w:pPr>
              <w:spacing w:after="20" w:before="20"/>
              <w:jc w:val="left"/>
            </w:pPr>
            <w:r/>
            <w:r>
              <w:rPr>
                <w:rFonts w:ascii="Times New Roman" w:hAnsi="Times New Roman" w:eastAsia="Times New Roman"/>
                <w:b w:val="0"/>
                <w:i w:val="0"/>
                <w:sz w:val="17"/>
              </w:rPr>
              <w:t>Confidence</w:t>
            </w:r>
          </w:p>
        </w:tc>
        <w:tc>
          <w:tcPr>
            <w:tcW w:type="dxa" w:w="2412"/>
          </w:tcPr>
          <w:p>
            <w:pPr>
              <w:spacing w:after="20" w:before="20"/>
              <w:jc w:val="left"/>
            </w:pPr>
            <w:r/>
            <w:r>
              <w:rPr>
                <w:rFonts w:ascii="Times New Roman" w:hAnsi="Times New Roman" w:eastAsia="Times New Roman"/>
                <w:b w:val="0"/>
                <w:i w:val="0"/>
                <w:sz w:val="17"/>
              </w:rPr>
              <w:t>0.146</w:t>
            </w:r>
          </w:p>
        </w:tc>
        <w:tc>
          <w:tcPr>
            <w:tcW w:type="dxa" w:w="2412"/>
          </w:tcPr>
          <w:p>
            <w:pPr>
              <w:spacing w:after="20" w:before="20"/>
              <w:jc w:val="left"/>
            </w:pPr>
            <w:r/>
            <w:r>
              <w:rPr>
                <w:rFonts w:ascii="Times New Roman" w:hAnsi="Times New Roman" w:eastAsia="Times New Roman"/>
                <w:b w:val="0"/>
                <w:i w:val="0"/>
                <w:sz w:val="17"/>
              </w:rPr>
              <w:t>0.136</w:t>
            </w:r>
          </w:p>
        </w:tc>
      </w:tr>
      <w:tr>
        <w:tc>
          <w:tcPr>
            <w:tcW w:type="dxa" w:w="2412"/>
            <w:shd w:val="clear" w:color="auto" w:fill="F3F7FB"/>
          </w:tcPr>
          <w:p>
            <w:pPr>
              <w:spacing w:after="20" w:before="20"/>
              <w:jc w:val="left"/>
            </w:pPr>
            <w:r/>
            <w:r>
              <w:rPr>
                <w:rFonts w:ascii="Times New Roman" w:hAnsi="Times New Roman" w:eastAsia="Times New Roman"/>
                <w:b w:val="0"/>
                <w:i w:val="0"/>
                <w:sz w:val="17"/>
              </w:rPr>
              <w:t>0.7</w:t>
            </w:r>
          </w:p>
        </w:tc>
        <w:tc>
          <w:tcPr>
            <w:tcW w:type="dxa" w:w="2412"/>
            <w:shd w:val="clear" w:color="auto" w:fill="F3F7FB"/>
          </w:tcPr>
          <w:p>
            <w:pPr>
              <w:spacing w:after="20" w:before="20"/>
              <w:jc w:val="left"/>
            </w:pPr>
            <w:r/>
            <w:r>
              <w:rPr>
                <w:rFonts w:ascii="Times New Roman" w:hAnsi="Times New Roman" w:eastAsia="Times New Roman"/>
                <w:b w:val="0"/>
                <w:i w:val="0"/>
                <w:sz w:val="17"/>
              </w:rPr>
              <w:t>Both (mean rank)</w:t>
            </w:r>
          </w:p>
        </w:tc>
        <w:tc>
          <w:tcPr>
            <w:tcW w:type="dxa" w:w="2412"/>
            <w:shd w:val="clear" w:color="auto" w:fill="F3F7FB"/>
          </w:tcPr>
          <w:p>
            <w:pPr>
              <w:spacing w:after="20" w:before="20"/>
              <w:jc w:val="left"/>
            </w:pPr>
            <w:r/>
            <w:r>
              <w:rPr>
                <w:rFonts w:ascii="Times New Roman" w:hAnsi="Times New Roman" w:eastAsia="Times New Roman"/>
                <w:b w:val="0"/>
                <w:i w:val="0"/>
                <w:sz w:val="17"/>
              </w:rPr>
              <w:t>0.134</w:t>
            </w:r>
          </w:p>
        </w:tc>
        <w:tc>
          <w:tcPr>
            <w:tcW w:type="dxa" w:w="2412"/>
            <w:shd w:val="clear" w:color="auto" w:fill="F3F7FB"/>
          </w:tcPr>
          <w:p>
            <w:pPr>
              <w:spacing w:after="20" w:before="20"/>
              <w:jc w:val="left"/>
            </w:pPr>
            <w:r/>
            <w:r>
              <w:rPr>
                <w:rFonts w:ascii="Times New Roman" w:hAnsi="Times New Roman" w:eastAsia="Times New Roman"/>
                <w:b w:val="0"/>
                <w:i w:val="0"/>
                <w:sz w:val="17"/>
              </w:rPr>
              <w:t>0.127</w:t>
            </w:r>
          </w:p>
        </w:tc>
      </w:tr>
      <w:tr>
        <w:tc>
          <w:tcPr>
            <w:tcW w:type="dxa" w:w="2412"/>
          </w:tcPr>
          <w:p>
            <w:pPr>
              <w:spacing w:after="20" w:before="20"/>
              <w:jc w:val="left"/>
            </w:pPr>
            <w:r/>
            <w:r>
              <w:rPr>
                <w:rFonts w:ascii="Times New Roman" w:hAnsi="Times New Roman" w:eastAsia="Times New Roman"/>
                <w:b w:val="0"/>
                <w:i w:val="0"/>
                <w:sz w:val="17"/>
              </w:rPr>
              <w:t>0.9</w:t>
            </w:r>
          </w:p>
        </w:tc>
        <w:tc>
          <w:tcPr>
            <w:tcW w:type="dxa" w:w="2412"/>
          </w:tcPr>
          <w:p>
            <w:pPr>
              <w:spacing w:after="20" w:before="20"/>
              <w:jc w:val="left"/>
            </w:pPr>
            <w:r/>
            <w:r>
              <w:rPr>
                <w:rFonts w:ascii="Times New Roman" w:hAnsi="Times New Roman" w:eastAsia="Times New Roman"/>
                <w:b w:val="0"/>
                <w:i w:val="0"/>
                <w:sz w:val="17"/>
              </w:rPr>
              <w:t>Confidence</w:t>
            </w:r>
          </w:p>
        </w:tc>
        <w:tc>
          <w:tcPr>
            <w:tcW w:type="dxa" w:w="2412"/>
          </w:tcPr>
          <w:p>
            <w:pPr>
              <w:spacing w:after="20" w:before="20"/>
              <w:jc w:val="left"/>
            </w:pPr>
            <w:r/>
            <w:r>
              <w:rPr>
                <w:rFonts w:ascii="Times New Roman" w:hAnsi="Times New Roman" w:eastAsia="Times New Roman"/>
                <w:b w:val="0"/>
                <w:i w:val="0"/>
                <w:sz w:val="17"/>
              </w:rPr>
              <w:t>0.201</w:t>
            </w:r>
          </w:p>
        </w:tc>
        <w:tc>
          <w:tcPr>
            <w:tcW w:type="dxa" w:w="2412"/>
          </w:tcPr>
          <w:p>
            <w:pPr>
              <w:spacing w:after="20" w:before="20"/>
              <w:jc w:val="left"/>
            </w:pPr>
            <w:r/>
            <w:r>
              <w:rPr>
                <w:rFonts w:ascii="Times New Roman" w:hAnsi="Times New Roman" w:eastAsia="Times New Roman"/>
                <w:b w:val="0"/>
                <w:i w:val="0"/>
                <w:sz w:val="17"/>
              </w:rPr>
              <w:t>0.193</w:t>
            </w:r>
          </w:p>
        </w:tc>
      </w:tr>
      <w:tr>
        <w:tc>
          <w:tcPr>
            <w:tcW w:type="dxa" w:w="2412"/>
            <w:shd w:val="clear" w:color="auto" w:fill="F3F7FB"/>
          </w:tcPr>
          <w:p>
            <w:pPr>
              <w:spacing w:after="20" w:before="20"/>
              <w:jc w:val="left"/>
            </w:pPr>
            <w:r/>
            <w:r>
              <w:rPr>
                <w:rFonts w:ascii="Times New Roman" w:hAnsi="Times New Roman" w:eastAsia="Times New Roman"/>
                <w:b w:val="0"/>
                <w:i w:val="0"/>
                <w:sz w:val="17"/>
              </w:rPr>
              <w:t>0.9</w:t>
            </w:r>
          </w:p>
        </w:tc>
        <w:tc>
          <w:tcPr>
            <w:tcW w:type="dxa" w:w="2412"/>
            <w:shd w:val="clear" w:color="auto" w:fill="F3F7FB"/>
          </w:tcPr>
          <w:p>
            <w:pPr>
              <w:spacing w:after="20" w:before="20"/>
              <w:jc w:val="left"/>
            </w:pPr>
            <w:r/>
            <w:r>
              <w:rPr>
                <w:rFonts w:ascii="Times New Roman" w:hAnsi="Times New Roman" w:eastAsia="Times New Roman"/>
                <w:b w:val="0"/>
                <w:i w:val="0"/>
                <w:sz w:val="17"/>
              </w:rPr>
              <w:t>Both (mean rank)</w:t>
            </w:r>
          </w:p>
        </w:tc>
        <w:tc>
          <w:tcPr>
            <w:tcW w:type="dxa" w:w="2412"/>
            <w:shd w:val="clear" w:color="auto" w:fill="F3F7FB"/>
          </w:tcPr>
          <w:p>
            <w:pPr>
              <w:spacing w:after="20" w:before="20"/>
              <w:jc w:val="left"/>
            </w:pPr>
            <w:r/>
            <w:r>
              <w:rPr>
                <w:rFonts w:ascii="Times New Roman" w:hAnsi="Times New Roman" w:eastAsia="Times New Roman"/>
                <w:b w:val="0"/>
                <w:i w:val="0"/>
                <w:sz w:val="17"/>
              </w:rPr>
              <w:t>0.197</w:t>
            </w:r>
          </w:p>
        </w:tc>
        <w:tc>
          <w:tcPr>
            <w:tcW w:type="dxa" w:w="2412"/>
            <w:shd w:val="clear" w:color="auto" w:fill="F3F7FB"/>
          </w:tcPr>
          <w:p>
            <w:pPr>
              <w:spacing w:after="20" w:before="20"/>
              <w:jc w:val="left"/>
            </w:pPr>
            <w:r/>
            <w:r>
              <w:rPr>
                <w:rFonts w:ascii="Times New Roman" w:hAnsi="Times New Roman" w:eastAsia="Times New Roman"/>
                <w:b w:val="0"/>
                <w:i w:val="0"/>
                <w:sz w:val="17"/>
              </w:rPr>
              <w:t>0.189</w:t>
            </w:r>
          </w:p>
        </w:tc>
      </w:tr>
    </w:tbl>
    <w:p>
      <w:pPr>
        <w:keepNext w:val="0"/>
        <w:spacing w:before="0" w:after="80"/>
        <w:jc w:val="both"/>
      </w:pPr>
    </w:p>
    <w:p>
      <w:pPr>
        <w:keepNext/>
        <w:spacing w:before="80" w:after="40"/>
        <w:jc w:val="center"/>
      </w:pPr>
      <w:r>
        <w:drawing>
          <wp:inline xmlns:a="http://schemas.openxmlformats.org/drawingml/2006/main" xmlns:pic="http://schemas.openxmlformats.org/drawingml/2006/picture">
            <wp:extent cx="5760720" cy="252031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2520315"/>
                    </a:xfrm>
                    <a:prstGeom prst="rect"/>
                  </pic:spPr>
                </pic:pic>
              </a:graphicData>
            </a:graphic>
          </wp:inline>
        </w:drawing>
      </w:r>
    </w:p>
    <w:p>
      <w:pPr>
        <w:keepNext w:val="0"/>
        <w:spacing w:before="40" w:after="160"/>
        <w:jc w:val="center"/>
      </w:pPr>
      <w:r>
        <w:rPr>
          <w:rFonts w:ascii="Times New Roman" w:hAnsi="Times New Roman" w:eastAsia="Times New Roman"/>
          <w:b/>
          <w:i w:val="0"/>
          <w:color w:val="1F4E79"/>
          <w:sz w:val="17"/>
        </w:rPr>
        <w:t>Figure 8. Error among accepted cells against coverage for four deferral signals, two features.</w:t>
      </w:r>
    </w:p>
    <w:p>
      <w:pPr>
        <w:keepNext/>
        <w:spacing w:before="200" w:after="120"/>
        <w:ind w:left="115"/>
        <w:jc w:val="left"/>
        <w:shd w:val="clear" w:color="auto" w:fill="EAF1F8"/>
        <w:pBdr>
          <w:left w:val="single" w:sz="36" w:space="6" w:color="1F4E79"/>
        </w:pBdr>
      </w:pPr>
      <w:r>
        <w:rPr>
          <w:rFonts w:ascii="Times New Roman" w:hAnsi="Times New Roman" w:eastAsia="Times New Roman"/>
          <w:b/>
          <w:i w:val="0"/>
          <w:color w:val="1F4E79"/>
          <w:sz w:val="22"/>
        </w:rPr>
        <w:t>6 DISCUSSION</w:t>
      </w:r>
    </w:p>
    <w:p>
      <w:pPr>
        <w:keepNext w:val="0"/>
        <w:spacing w:before="0" w:after="120"/>
        <w:jc w:val="both"/>
      </w:pPr>
      <w:r>
        <w:rPr>
          <w:rFonts w:ascii="Times New Roman" w:hAnsi="Times New Roman" w:eastAsia="Times New Roman"/>
          <w:b/>
          <w:i w:val="0"/>
          <w:sz w:val="20"/>
        </w:rPr>
        <w:t>Readers are not interchangeable.</w:t>
      </w:r>
      <w:r>
        <w:rPr>
          <w:rFonts w:ascii="Times New Roman" w:hAnsi="Times New Roman" w:eastAsia="Times New Roman"/>
          <w:b w:val="0"/>
          <w:i w:val="0"/>
          <w:sz w:val="20"/>
        </w:rPr>
        <w:t xml:space="preserve"> The four pathologists differ in how selectively they mark, and the difference depends on cell class and density. The pattern is not a single reader being sloppy: annotator_4 marks few cells that others do not (4 percent of marks) but skips many that others mark, especially lesion cells in dense patches, while annotators 1 and 2 add marks that no one else made. A model of agreement that assumes equal expertise cannot represent this, and a consensus built by majority vote hides it.</w:t>
      </w:r>
    </w:p>
    <w:p>
      <w:pPr>
        <w:keepNext w:val="0"/>
        <w:spacing w:before="0" w:after="120"/>
        <w:jc w:val="both"/>
      </w:pPr>
      <w:r>
        <w:rPr>
          <w:rFonts w:ascii="Times New Roman" w:hAnsi="Times New Roman" w:eastAsia="Times New Roman"/>
          <w:b/>
          <w:i w:val="0"/>
          <w:sz w:val="20"/>
        </w:rPr>
        <w:t>Selective labelling, not noise on background.</w:t>
      </w:r>
      <w:r>
        <w:rPr>
          <w:rFonts w:ascii="Times New Roman" w:hAnsi="Times New Roman" w:eastAsia="Times New Roman"/>
          <w:b w:val="0"/>
          <w:i w:val="0"/>
          <w:sz w:val="20"/>
        </w:rPr>
        <w:t xml:space="preserve"> Between half and two thirds of solo marks sit on objects that look like consensus cells, and the label-only mixture's reading of them as spurious was a product of its structure. We therefore describe reader differences as selective labelling. We cannot say which reader is right: the dataset has no independent reference, and a cell marked by one reader may be a real cell that others missed or a cell they judged not worth marking.</w:t>
      </w:r>
    </w:p>
    <w:p>
      <w:pPr>
        <w:keepNext w:val="0"/>
        <w:spacing w:before="0" w:after="120"/>
        <w:jc w:val="both"/>
      </w:pPr>
      <w:r>
        <w:rPr>
          <w:rFonts w:ascii="Times New Roman" w:hAnsi="Times New Roman" w:eastAsia="Times New Roman"/>
          <w:b/>
          <w:i w:val="0"/>
          <w:sz w:val="20"/>
        </w:rPr>
        <w:t>Why the correction did not help.</w:t>
      </w:r>
      <w:r>
        <w:rPr>
          <w:rFonts w:ascii="Times New Roman" w:hAnsi="Times New Roman" w:eastAsia="Times New Roman"/>
          <w:b w:val="0"/>
          <w:i w:val="0"/>
          <w:sz w:val="20"/>
        </w:rPr>
        <w:t xml:space="preserve"> Treating unmarked cells as unlabelled is principled [18,19], and the oracle gap shows there is something to recover (about 0.04 average precision on lesion cells). A correction that knew each cell's true class and local density recovered only about a third of that gap in the final runs (lesion average precision 0.627 and 0.647 against naive 0.616 and 0.635 and oracle 0.652 and 0.667), and real single-reader data does not provide the class of an unmarked cell. Replacing it with a predicted class and a density proxy gave an effect that was not distinguishable from zero, and stronger features reduced it further. Corrections that used only reader identity or one rate were worse than doing nothing, which is a caution for the common practice of reweighting by annotator. Plausible reasons include that the rate estimates are coarse, that omission is confounded with disagreement about class, and that a linear head on frozen features has little capacity to benefit.</w:t>
      </w:r>
    </w:p>
    <w:p>
      <w:pPr>
        <w:keepNext w:val="0"/>
        <w:spacing w:before="0" w:after="120"/>
        <w:jc w:val="both"/>
      </w:pPr>
      <w:r>
        <w:rPr>
          <w:rFonts w:ascii="Times New Roman" w:hAnsi="Times New Roman" w:eastAsia="Times New Roman"/>
          <w:b/>
          <w:i w:val="0"/>
          <w:sz w:val="20"/>
        </w:rPr>
        <w:t>Deferral.</w:t>
      </w:r>
      <w:r>
        <w:rPr>
          <w:rFonts w:ascii="Times New Roman" w:hAnsi="Times New Roman" w:eastAsia="Times New Roman"/>
          <w:b w:val="0"/>
          <w:i w:val="0"/>
          <w:sz w:val="20"/>
        </w:rPr>
        <w:t xml:space="preserve"> Combining model confidence with a head trained on graded reader agreement gave lower error among accepted cells than confidence alone, consistently across coverages and feature sets. Selective classification [20] and learning to defer [21] rely on model confidence or a learned rejector; here the rejector is trained on graded reader agreement. The reference is defined by the same readers, so this shows that the model can anticipate where the four readers would split, which is its stated purpose, not that deferred cells are the ones a pathologist would get right.</w:t>
      </w:r>
    </w:p>
    <w:p>
      <w:pPr>
        <w:keepNext w:val="0"/>
        <w:spacing w:before="0" w:after="120"/>
        <w:jc w:val="both"/>
      </w:pPr>
      <w:r>
        <w:rPr>
          <w:rFonts w:ascii="Times New Roman" w:hAnsi="Times New Roman" w:eastAsia="Times New Roman"/>
          <w:b/>
          <w:i w:val="0"/>
          <w:sz w:val="20"/>
        </w:rPr>
        <w:t>What this means for dataset users.</w:t>
      </w:r>
      <w:r>
        <w:rPr>
          <w:rFonts w:ascii="Times New Roman" w:hAnsi="Times New Roman" w:eastAsia="Times New Roman"/>
          <w:b w:val="0"/>
          <w:i w:val="0"/>
          <w:sz w:val="20"/>
        </w:rPr>
        <w:t xml:space="preserve"> Multi-reader datasets should be distributed with reader identities, as RIVA does, and analyses should report reader-level behaviour before collapsing to consensus. Single-reader subsets of the same readers are not equivalent to consensus labels for lesion cells.</w:t>
      </w:r>
    </w:p>
    <w:p>
      <w:pPr>
        <w:keepNext/>
        <w:spacing w:before="200" w:after="120"/>
        <w:ind w:left="115"/>
        <w:jc w:val="left"/>
        <w:shd w:val="clear" w:color="auto" w:fill="EAF1F8"/>
        <w:pBdr>
          <w:left w:val="single" w:sz="36" w:space="6" w:color="1F4E79"/>
        </w:pBdr>
      </w:pPr>
      <w:r>
        <w:rPr>
          <w:rFonts w:ascii="Times New Roman" w:hAnsi="Times New Roman" w:eastAsia="Times New Roman"/>
          <w:b/>
          <w:i w:val="0"/>
          <w:color w:val="1F4E79"/>
          <w:sz w:val="22"/>
        </w:rPr>
        <w:t>7 LIMITATIONS</w:t>
      </w:r>
    </w:p>
    <w:p>
      <w:pPr>
        <w:keepNext w:val="0"/>
        <w:spacing w:before="0" w:after="120"/>
        <w:jc w:val="both"/>
      </w:pPr>
      <w:r>
        <w:rPr>
          <w:rFonts w:ascii="Times New Roman" w:hAnsi="Times New Roman" w:eastAsia="Times New Roman"/>
          <w:b/>
          <w:i w:val="0"/>
          <w:sz w:val="20"/>
        </w:rPr>
        <w:t>No independent reference.</w:t>
      </w:r>
      <w:r>
        <w:rPr>
          <w:rFonts w:ascii="Times New Roman" w:hAnsi="Times New Roman" w:eastAsia="Times New Roman"/>
          <w:b w:val="0"/>
          <w:i w:val="0"/>
          <w:sz w:val="20"/>
        </w:rPr>
        <w:t xml:space="preserve"> Consensus is defined by the same four readers. We cannot tell omission from judgement, and the deferral evaluation is partly circular. Biopsy, HPV or adjudicated consensus would be needed.</w:t>
      </w:r>
    </w:p>
    <w:p>
      <w:pPr>
        <w:keepNext w:val="0"/>
        <w:spacing w:before="0" w:after="120"/>
        <w:jc w:val="both"/>
      </w:pPr>
      <w:r>
        <w:rPr>
          <w:rFonts w:ascii="Times New Roman" w:hAnsi="Times New Roman" w:eastAsia="Times New Roman"/>
          <w:b/>
          <w:i w:val="0"/>
          <w:sz w:val="20"/>
        </w:rPr>
        <w:t>Small, single-source dataset.</w:t>
      </w:r>
      <w:r>
        <w:rPr>
          <w:rFonts w:ascii="Times New Roman" w:hAnsi="Times New Roman" w:eastAsia="Times New Roman"/>
          <w:b w:val="0"/>
          <w:i w:val="0"/>
          <w:sz w:val="20"/>
        </w:rPr>
        <w:t xml:space="preserve"> 386 four-reader patches from 115 patients in one laboratory with four readers. Intervals are slide-level bootstrap intervals [22] and conditional on fixed models, so they understate training variance. One analysis changed from borderline to not significant between two machines.</w:t>
      </w:r>
    </w:p>
    <w:p>
      <w:pPr>
        <w:keepNext w:val="0"/>
        <w:spacing w:before="0" w:after="120"/>
        <w:jc w:val="both"/>
      </w:pPr>
      <w:r>
        <w:rPr>
          <w:rFonts w:ascii="Times New Roman" w:hAnsi="Times New Roman" w:eastAsia="Times New Roman"/>
          <w:b/>
          <w:i w:val="0"/>
          <w:sz w:val="20"/>
        </w:rPr>
        <w:t>Not a full detector.</w:t>
      </w:r>
      <w:r>
        <w:rPr>
          <w:rFonts w:ascii="Times New Roman" w:hAnsi="Times New Roman" w:eastAsia="Times New Roman"/>
          <w:b w:val="0"/>
          <w:i w:val="0"/>
          <w:sz w:val="20"/>
        </w:rPr>
        <w:t xml:space="preserve"> Candidates came from the readers' own marks plus random background, so there was no cell proposer, and the 573 real single-reader patches were not used. Features were frozen ImageNet or DINOv2-small encoders on 64-pixel crops with a linear head; a fine-tuned detector or a pathology foundation model could change the effect sizes either way.</w:t>
      </w:r>
    </w:p>
    <w:p>
      <w:pPr>
        <w:keepNext w:val="0"/>
        <w:spacing w:before="0" w:after="120"/>
        <w:jc w:val="both"/>
      </w:pPr>
      <w:r>
        <w:rPr>
          <w:rFonts w:ascii="Times New Roman" w:hAnsi="Times New Roman" w:eastAsia="Times New Roman"/>
          <w:b/>
          <w:i w:val="0"/>
          <w:sz w:val="20"/>
        </w:rPr>
        <w:t>Matching and class definitions.</w:t>
      </w:r>
      <w:r>
        <w:rPr>
          <w:rFonts w:ascii="Times New Roman" w:hAnsi="Times New Roman" w:eastAsia="Times New Roman"/>
          <w:b w:val="0"/>
          <w:i w:val="0"/>
          <w:sz w:val="20"/>
        </w:rPr>
        <w:t xml:space="preserve"> Cell matching radius was calibrated to the published cell count, and the lesion group was defined by the majority label among the readers who marked the cell. Class-specific rates therefore depend on readers' own labels.</w:t>
      </w:r>
    </w:p>
    <w:p>
      <w:pPr>
        <w:keepNext w:val="0"/>
        <w:spacing w:before="0" w:after="120"/>
        <w:jc w:val="both"/>
      </w:pPr>
      <w:r>
        <w:rPr>
          <w:rFonts w:ascii="Times New Roman" w:hAnsi="Times New Roman" w:eastAsia="Times New Roman"/>
          <w:b/>
          <w:i w:val="0"/>
          <w:sz w:val="20"/>
        </w:rPr>
        <w:t>Image check.</w:t>
      </w:r>
      <w:r>
        <w:rPr>
          <w:rFonts w:ascii="Times New Roman" w:hAnsi="Times New Roman" w:eastAsia="Times New Roman"/>
          <w:b w:val="0"/>
          <w:i w:val="0"/>
          <w:sz w:val="20"/>
        </w:rPr>
        <w:t xml:space="preserve"> Cell-like scores come from a small frozen encoder and an arbitrary threshold; 30 to 53 percent of solo marks were not cell-like and we cannot say whether they are off-centre marks, unusual cells or spurious marks.</w:t>
      </w:r>
    </w:p>
    <w:p>
      <w:pPr>
        <w:keepNext w:val="0"/>
        <w:spacing w:before="0" w:after="120"/>
        <w:jc w:val="both"/>
      </w:pPr>
      <w:r>
        <w:rPr>
          <w:rFonts w:ascii="Times New Roman" w:hAnsi="Times New Roman" w:eastAsia="Times New Roman"/>
          <w:b/>
          <w:i w:val="0"/>
          <w:sz w:val="20"/>
        </w:rPr>
        <w:t>Grouping assumptions.</w:t>
      </w:r>
      <w:r>
        <w:rPr>
          <w:rFonts w:ascii="Times New Roman" w:hAnsi="Times New Roman" w:eastAsia="Times New Roman"/>
          <w:b w:val="0"/>
          <w:i w:val="0"/>
          <w:sz w:val="20"/>
        </w:rPr>
        <w:t xml:space="preserve"> We assumed slide numbers within a diagnostic category identify slides and that one slide corresponds to one patient.</w:t>
      </w:r>
    </w:p>
    <w:p>
      <w:pPr>
        <w:keepNext w:val="0"/>
        <w:spacing w:before="0" w:after="120"/>
        <w:jc w:val="both"/>
      </w:pPr>
      <w:r>
        <w:rPr>
          <w:rFonts w:ascii="Times New Roman" w:hAnsi="Times New Roman" w:eastAsia="Times New Roman"/>
          <w:b/>
          <w:i w:val="0"/>
          <w:sz w:val="20"/>
        </w:rPr>
        <w:t>Licence.</w:t>
      </w:r>
      <w:r>
        <w:rPr>
          <w:rFonts w:ascii="Times New Roman" w:hAnsi="Times New Roman" w:eastAsia="Times New Roman"/>
          <w:b w:val="0"/>
          <w:i w:val="0"/>
          <w:sz w:val="20"/>
        </w:rPr>
        <w:t xml:space="preserve"> Three different licence statements exist for RIVA; we used it for non-commercial research and did not redistribute it.</w:t>
      </w:r>
    </w:p>
    <w:p>
      <w:pPr>
        <w:keepNext/>
        <w:spacing w:before="200" w:after="120"/>
        <w:ind w:left="115"/>
        <w:jc w:val="left"/>
        <w:shd w:val="clear" w:color="auto" w:fill="EAF1F8"/>
        <w:pBdr>
          <w:left w:val="single" w:sz="36" w:space="6" w:color="1F4E79"/>
        </w:pBdr>
      </w:pPr>
      <w:r>
        <w:rPr>
          <w:rFonts w:ascii="Times New Roman" w:hAnsi="Times New Roman" w:eastAsia="Times New Roman"/>
          <w:b/>
          <w:i w:val="0"/>
          <w:color w:val="1F4E79"/>
          <w:sz w:val="22"/>
        </w:rPr>
        <w:t>8 CONCLUSION</w:t>
      </w:r>
    </w:p>
    <w:p>
      <w:pPr>
        <w:keepNext w:val="0"/>
        <w:spacing w:before="0" w:after="120"/>
        <w:jc w:val="both"/>
      </w:pPr>
      <w:r>
        <w:rPr>
          <w:rFonts w:ascii="Times New Roman" w:hAnsi="Times New Roman" w:eastAsia="Times New Roman"/>
          <w:b w:val="0"/>
          <w:i w:val="0"/>
          <w:sz w:val="20"/>
        </w:rPr>
        <w:t>In RIVA, four pathologists differ in which cells they mark, and the differences depend on cell class and density, contradicting an assumption of equal expertise. About half to two thirds of solo marks sit on cell-like objects, so single-reader unmarked cells are better described as unlabelled than as negative. Propensity corrections based on reader identity or a single rate did not help a linear detector and lowered lesion average precision; a class-aware correction using predicted class was not distinguishable from naive training. A head trained on graded reader agreement gave a small, consistent deferral gain against a reference that shares the readers. These results are limited by dataset size, the absence of an independent reference and the simplicity of the detector; they argue for reporting reader-level behaviour in multi-reader pathology datasets and for caution when reweighting labels by annotator.</w:t>
      </w:r>
    </w:p>
    <w:p>
      <w:pPr>
        <w:keepNext/>
        <w:spacing w:before="200" w:after="120"/>
        <w:ind w:left="115"/>
        <w:jc w:val="left"/>
        <w:shd w:val="clear" w:color="auto" w:fill="EAF1F8"/>
        <w:pBdr>
          <w:left w:val="single" w:sz="36" w:space="6" w:color="1F4E79"/>
        </w:pBdr>
      </w:pPr>
      <w:r>
        <w:rPr>
          <w:rFonts w:ascii="Times New Roman" w:hAnsi="Times New Roman" w:eastAsia="Times New Roman"/>
          <w:b/>
          <w:i w:val="0"/>
          <w:color w:val="1F4E79"/>
          <w:sz w:val="22"/>
        </w:rPr>
        <w:t>DECLARATIONS</w:t>
      </w:r>
    </w:p>
    <w:p>
      <w:pPr>
        <w:keepNext w:val="0"/>
        <w:spacing w:before="0" w:after="120"/>
        <w:jc w:val="both"/>
      </w:pPr>
      <w:r>
        <w:rPr>
          <w:rFonts w:ascii="Times New Roman" w:hAnsi="Times New Roman" w:eastAsia="Times New Roman"/>
          <w:b/>
          <w:i w:val="0"/>
          <w:sz w:val="20"/>
        </w:rPr>
        <w:t>Data availability.</w:t>
      </w:r>
      <w:r>
        <w:rPr>
          <w:rFonts w:ascii="Times New Roman" w:hAnsi="Times New Roman" w:eastAsia="Times New Roman"/>
          <w:b w:val="0"/>
          <w:i w:val="0"/>
          <w:sz w:val="20"/>
        </w:rPr>
        <w:t xml:space="preserve"> The RIVA dataset is public (Zenodo, doi 10.5281/zenodo.17288879). Derived arrays (candidate table and embeddings) can be regenerated from it with the released script.</w:t>
      </w:r>
    </w:p>
    <w:p>
      <w:pPr>
        <w:keepNext w:val="0"/>
        <w:spacing w:before="0" w:after="120"/>
        <w:jc w:val="both"/>
      </w:pPr>
      <w:r>
        <w:rPr>
          <w:rFonts w:ascii="Times New Roman" w:hAnsi="Times New Roman" w:eastAsia="Times New Roman"/>
          <w:b/>
          <w:i w:val="0"/>
          <w:sz w:val="20"/>
        </w:rPr>
        <w:t>Code availability.</w:t>
      </w:r>
      <w:r>
        <w:rPr>
          <w:rFonts w:ascii="Times New Roman" w:hAnsi="Times New Roman" w:eastAsia="Times New Roman"/>
          <w:b w:val="0"/>
          <w:i w:val="0"/>
          <w:sz w:val="20"/>
        </w:rPr>
        <w:t xml:space="preserve"> The analysis code, the text outputs reported here and the figure scripts are available under the MIT licence at https://github.com/Davidic-02/riva-reader-selectivity (commit 155ebe3). The repository does not contain the RIVA images or annotations.</w:t>
      </w:r>
    </w:p>
    <w:p>
      <w:pPr>
        <w:keepNext w:val="0"/>
        <w:spacing w:before="0" w:after="120"/>
        <w:jc w:val="both"/>
      </w:pPr>
      <w:r>
        <w:rPr>
          <w:rFonts w:ascii="Times New Roman" w:hAnsi="Times New Roman" w:eastAsia="Times New Roman"/>
          <w:b/>
          <w:i w:val="0"/>
          <w:sz w:val="20"/>
        </w:rPr>
        <w:t>Ethics.</w:t>
      </w:r>
      <w:r>
        <w:rPr>
          <w:rFonts w:ascii="Times New Roman" w:hAnsi="Times New Roman" w:eastAsia="Times New Roman"/>
          <w:b w:val="0"/>
          <w:i w:val="0"/>
          <w:sz w:val="20"/>
        </w:rPr>
        <w:t xml:space="preserve"> Secondary analysis of a public, de-identified dataset. The dataset paper reports approval by the Hospital Bernardino Rivadavia institutional review board with a waiver of consent. No new data were collected.</w:t>
      </w:r>
    </w:p>
    <w:p>
      <w:pPr>
        <w:keepNext w:val="0"/>
        <w:spacing w:before="0" w:after="120"/>
        <w:jc w:val="both"/>
      </w:pPr>
      <w:r>
        <w:rPr>
          <w:rFonts w:ascii="Times New Roman" w:hAnsi="Times New Roman" w:eastAsia="Times New Roman"/>
          <w:b/>
          <w:i w:val="0"/>
          <w:sz w:val="20"/>
        </w:rPr>
        <w:t>AI assistance.</w:t>
      </w:r>
      <w:r>
        <w:rPr>
          <w:rFonts w:ascii="Times New Roman" w:hAnsi="Times New Roman" w:eastAsia="Times New Roman"/>
          <w:b w:val="0"/>
          <w:i w:val="0"/>
          <w:sz w:val="20"/>
        </w:rPr>
        <w:t xml:space="preserve"> An AI assistant (Claude, Anthropic) was used to draft analysis code, to run and summarise the analyses, and to draft this text. The authors are responsible for the content and must verify every number, citation and claim before submission. [Adapt to the target journal's policy on AI-assisted writing.]</w:t>
      </w:r>
    </w:p>
    <w:p>
      <w:pPr>
        <w:keepNext w:val="0"/>
        <w:spacing w:before="0" w:after="120"/>
        <w:jc w:val="both"/>
      </w:pPr>
      <w:r>
        <w:rPr>
          <w:rFonts w:ascii="Times New Roman" w:hAnsi="Times New Roman" w:eastAsia="Times New Roman"/>
          <w:b/>
          <w:i w:val="0"/>
          <w:sz w:val="20"/>
        </w:rPr>
        <w:t>Competing interests.</w:t>
      </w:r>
      <w:r>
        <w:rPr>
          <w:rFonts w:ascii="Times New Roman" w:hAnsi="Times New Roman" w:eastAsia="Times New Roman"/>
          <w:b w:val="0"/>
          <w:i w:val="0"/>
          <w:sz w:val="20"/>
        </w:rPr>
        <w:t xml:space="preserve"> [To be completed.]</w:t>
      </w:r>
    </w:p>
    <w:p>
      <w:pPr>
        <w:keepNext w:val="0"/>
        <w:spacing w:before="0" w:after="120"/>
        <w:jc w:val="both"/>
      </w:pPr>
      <w:r>
        <w:rPr>
          <w:rFonts w:ascii="Times New Roman" w:hAnsi="Times New Roman" w:eastAsia="Times New Roman"/>
          <w:b/>
          <w:i w:val="0"/>
          <w:sz w:val="20"/>
        </w:rPr>
        <w:t>Funding.</w:t>
      </w:r>
      <w:r>
        <w:rPr>
          <w:rFonts w:ascii="Times New Roman" w:hAnsi="Times New Roman" w:eastAsia="Times New Roman"/>
          <w:b w:val="0"/>
          <w:i w:val="0"/>
          <w:sz w:val="20"/>
        </w:rPr>
        <w:t xml:space="preserve"> [To be completed.]</w:t>
      </w:r>
    </w:p>
    <w:p>
      <w:pPr>
        <w:keepNext/>
        <w:spacing w:before="200" w:after="120"/>
        <w:ind w:left="115"/>
        <w:jc w:val="left"/>
        <w:shd w:val="clear" w:color="auto" w:fill="EAF1F8"/>
        <w:pBdr>
          <w:left w:val="single" w:sz="36" w:space="6" w:color="1F4E79"/>
        </w:pBdr>
      </w:pPr>
      <w:r>
        <w:rPr>
          <w:rFonts w:ascii="Times New Roman" w:hAnsi="Times New Roman" w:eastAsia="Times New Roman"/>
          <w:b/>
          <w:i w:val="0"/>
          <w:color w:val="1F4E79"/>
          <w:sz w:val="22"/>
        </w:rPr>
        <w:t>REFERENCES</w:t>
      </w:r>
    </w:p>
    <w:p>
      <w:pPr>
        <w:keepNext w:val="0"/>
        <w:spacing w:before="0" w:after="60"/>
        <w:jc w:val="left"/>
      </w:pPr>
      <w:r>
        <w:rPr>
          <w:rFonts w:ascii="Times New Roman" w:hAnsi="Times New Roman" w:eastAsia="Times New Roman"/>
          <w:sz w:val="17"/>
        </w:rPr>
        <w:t xml:space="preserve">1. </w:t>
      </w:r>
      <w:r>
        <w:rPr>
          <w:rFonts w:ascii="Times New Roman" w:hAnsi="Times New Roman" w:eastAsia="Times New Roman"/>
          <w:b w:val="0"/>
          <w:i w:val="0"/>
          <w:sz w:val="17"/>
        </w:rPr>
        <w:t>Perez Bianchi P, Anselmo S, Vasquez Currie M, et al.: RIVA: An image dataset of conventional Pap smear cytology with multiple independent annotations. Sci Data. 2025, 12:1991. 10.1038/s41597-025-06280-2</w:t>
      </w:r>
    </w:p>
    <w:p>
      <w:pPr>
        <w:keepNext w:val="0"/>
        <w:spacing w:before="0" w:after="60"/>
        <w:jc w:val="left"/>
      </w:pPr>
      <w:r>
        <w:rPr>
          <w:rFonts w:ascii="Times New Roman" w:hAnsi="Times New Roman" w:eastAsia="Times New Roman"/>
          <w:sz w:val="17"/>
        </w:rPr>
        <w:t xml:space="preserve">2. </w:t>
      </w:r>
      <w:r>
        <w:rPr>
          <w:rFonts w:ascii="Times New Roman" w:hAnsi="Times New Roman" w:eastAsia="Times New Roman"/>
          <w:b w:val="0"/>
          <w:i w:val="0"/>
          <w:sz w:val="17"/>
        </w:rPr>
        <w:t>Dawid AP, Skene AM: Maximum likelihood estimation of observer error-rates using the EM algorithm. Appl Stat. 1979, 28:20-28. 10.2307/2346806</w:t>
      </w:r>
    </w:p>
    <w:p>
      <w:pPr>
        <w:keepNext w:val="0"/>
        <w:spacing w:before="0" w:after="60"/>
        <w:jc w:val="left"/>
      </w:pPr>
      <w:r>
        <w:rPr>
          <w:rFonts w:ascii="Times New Roman" w:hAnsi="Times New Roman" w:eastAsia="Times New Roman"/>
          <w:sz w:val="17"/>
        </w:rPr>
        <w:t xml:space="preserve">3. </w:t>
      </w:r>
      <w:r>
        <w:rPr>
          <w:rFonts w:ascii="Times New Roman" w:hAnsi="Times New Roman" w:eastAsia="Times New Roman"/>
          <w:b w:val="0"/>
          <w:i w:val="0"/>
          <w:sz w:val="17"/>
        </w:rPr>
        <w:t>Raykar VC, Yu S, Zhao LH, et al.: Learning from crowds. J Mach Learn Res. 2010, 11:1297-1322.</w:t>
      </w:r>
    </w:p>
    <w:p>
      <w:pPr>
        <w:keepNext w:val="0"/>
        <w:spacing w:before="0" w:after="60"/>
        <w:jc w:val="left"/>
      </w:pPr>
      <w:r>
        <w:rPr>
          <w:rFonts w:ascii="Times New Roman" w:hAnsi="Times New Roman" w:eastAsia="Times New Roman"/>
          <w:sz w:val="17"/>
        </w:rPr>
        <w:t xml:space="preserve">4. </w:t>
      </w:r>
      <w:r>
        <w:rPr>
          <w:rFonts w:ascii="Times New Roman" w:hAnsi="Times New Roman" w:eastAsia="Times New Roman"/>
          <w:b w:val="0"/>
          <w:i w:val="0"/>
          <w:sz w:val="17"/>
        </w:rPr>
        <w:t>Yan Y, Rosales R, Fung G, Subramanian R, Dy J: Learning from multiple annotators with varying expertise. Mach Learn. 2014, 95:291-327. 10.1007/s10994-013-5412-1</w:t>
      </w:r>
    </w:p>
    <w:p>
      <w:pPr>
        <w:keepNext w:val="0"/>
        <w:spacing w:before="0" w:after="60"/>
        <w:jc w:val="left"/>
      </w:pPr>
      <w:r>
        <w:rPr>
          <w:rFonts w:ascii="Times New Roman" w:hAnsi="Times New Roman" w:eastAsia="Times New Roman"/>
          <w:sz w:val="17"/>
        </w:rPr>
        <w:t xml:space="preserve">5. </w:t>
      </w:r>
      <w:r>
        <w:rPr>
          <w:rFonts w:ascii="Times New Roman" w:hAnsi="Times New Roman" w:eastAsia="Times New Roman"/>
          <w:b w:val="0"/>
          <w:i w:val="0"/>
          <w:sz w:val="17"/>
        </w:rPr>
        <w:t>Tanno R, Saeedi A, Sankaranarayanan S, Alexander DC, Silberman N: Learning from noisy labels by regularized estimation of annotator confusion. Proc IEEE/CVF Conf Comput Vis Pattern Recognit (CVPR). 2019, 11236-11245. 10.1109/CVPR.2019.01150</w:t>
      </w:r>
    </w:p>
    <w:p>
      <w:pPr>
        <w:keepNext w:val="0"/>
        <w:spacing w:before="0" w:after="60"/>
        <w:jc w:val="left"/>
      </w:pPr>
      <w:r>
        <w:rPr>
          <w:rFonts w:ascii="Times New Roman" w:hAnsi="Times New Roman" w:eastAsia="Times New Roman"/>
          <w:sz w:val="17"/>
        </w:rPr>
        <w:t xml:space="preserve">6. </w:t>
      </w:r>
      <w:r>
        <w:rPr>
          <w:rFonts w:ascii="Times New Roman" w:hAnsi="Times New Roman" w:eastAsia="Times New Roman"/>
          <w:b w:val="0"/>
          <w:i w:val="0"/>
          <w:sz w:val="17"/>
        </w:rPr>
        <w:t>Yang Y, Liang KJ, Carin L: Object detection as a positive-unlabeled problem. Proc Br Mach Vis Conf (BMVC). 2020. 10.5244/C.34.74</w:t>
      </w:r>
    </w:p>
    <w:p>
      <w:pPr>
        <w:keepNext w:val="0"/>
        <w:spacing w:before="0" w:after="60"/>
        <w:jc w:val="left"/>
      </w:pPr>
      <w:r>
        <w:rPr>
          <w:rFonts w:ascii="Times New Roman" w:hAnsi="Times New Roman" w:eastAsia="Times New Roman"/>
          <w:sz w:val="17"/>
        </w:rPr>
        <w:t xml:space="preserve">7. </w:t>
      </w:r>
      <w:r>
        <w:rPr>
          <w:rFonts w:ascii="Times New Roman" w:hAnsi="Times New Roman" w:eastAsia="Times New Roman"/>
          <w:b w:val="0"/>
          <w:i w:val="0"/>
          <w:sz w:val="17"/>
        </w:rPr>
        <w:t>Zhao Z, Pang F, Liu Y, Liu Z, Ye C: Positive-unlabeled learning for binary and multi-class cell detection in histopathology images with incomplete annotations. Mach Learn Biomed Imaging. 2022. 10.59275/j.melba.2022-8g31</w:t>
      </w:r>
    </w:p>
    <w:p>
      <w:pPr>
        <w:keepNext w:val="0"/>
        <w:spacing w:before="0" w:after="60"/>
        <w:jc w:val="left"/>
      </w:pPr>
      <w:r>
        <w:rPr>
          <w:rFonts w:ascii="Times New Roman" w:hAnsi="Times New Roman" w:eastAsia="Times New Roman"/>
          <w:sz w:val="17"/>
        </w:rPr>
        <w:t xml:space="preserve">8. </w:t>
      </w:r>
      <w:r>
        <w:rPr>
          <w:rFonts w:ascii="Times New Roman" w:hAnsi="Times New Roman" w:eastAsia="Times New Roman"/>
          <w:b w:val="0"/>
          <w:i w:val="0"/>
          <w:sz w:val="17"/>
        </w:rPr>
        <w:t>Bekker J, Robberechts P, Davis J: Beyond the selected completely at random assumption for learning from positive and unlabeled data. In: ECML PKDD 2019. Lecture Notes in Computer Science. Springer, Cham; 2020. 71-85. 10.1007/978-3-030-46147-8_5</w:t>
      </w:r>
    </w:p>
    <w:p>
      <w:pPr>
        <w:keepNext w:val="0"/>
        <w:spacing w:before="0" w:after="60"/>
        <w:jc w:val="left"/>
      </w:pPr>
      <w:r>
        <w:rPr>
          <w:rFonts w:ascii="Times New Roman" w:hAnsi="Times New Roman" w:eastAsia="Times New Roman"/>
          <w:sz w:val="17"/>
        </w:rPr>
        <w:t xml:space="preserve">9. </w:t>
      </w:r>
      <w:r>
        <w:rPr>
          <w:rFonts w:ascii="Times New Roman" w:hAnsi="Times New Roman" w:eastAsia="Times New Roman"/>
          <w:b w:val="0"/>
          <w:i w:val="0"/>
          <w:sz w:val="17"/>
        </w:rPr>
        <w:t>Li H, Sun Y, Zhu C, et al.: Large-scale cervical precancerous screening via AI-assisted cytology whole slide image analysis. arXiv. 2024, 2407.19512.</w:t>
      </w:r>
    </w:p>
    <w:p>
      <w:pPr>
        <w:keepNext w:val="0"/>
        <w:spacing w:before="0" w:after="60"/>
        <w:jc w:val="left"/>
      </w:pPr>
      <w:r>
        <w:rPr>
          <w:rFonts w:ascii="Times New Roman" w:hAnsi="Times New Roman" w:eastAsia="Times New Roman"/>
          <w:sz w:val="17"/>
        </w:rPr>
        <w:t xml:space="preserve">10. </w:t>
      </w:r>
      <w:r>
        <w:rPr>
          <w:rFonts w:ascii="Times New Roman" w:hAnsi="Times New Roman" w:eastAsia="Times New Roman"/>
          <w:b w:val="0"/>
          <w:i w:val="0"/>
          <w:sz w:val="17"/>
        </w:rPr>
        <w:t>Kang C, Lee C, Song H, Ma M, Pereira S: Variability matters: evaluating inter-rater variability in histopathology for robust cell detection. In: ECCV 2022 Workshops. Lecture Notes in Computer Science. Springer, Cham; 2023. 552-565. 10.1007/978-3-031-25082-8_37</w:t>
      </w:r>
    </w:p>
    <w:p>
      <w:pPr>
        <w:keepNext w:val="0"/>
        <w:spacing w:before="0" w:after="60"/>
        <w:jc w:val="left"/>
      </w:pPr>
      <w:r>
        <w:rPr>
          <w:rFonts w:ascii="Times New Roman" w:hAnsi="Times New Roman" w:eastAsia="Times New Roman"/>
          <w:sz w:val="17"/>
        </w:rPr>
        <w:t xml:space="preserve">11. </w:t>
      </w:r>
      <w:r>
        <w:rPr>
          <w:rFonts w:ascii="Times New Roman" w:hAnsi="Times New Roman" w:eastAsia="Times New Roman"/>
          <w:b w:val="0"/>
          <w:i w:val="0"/>
          <w:sz w:val="17"/>
        </w:rPr>
        <w:t>Tschirschwitz D, Benz C, Florek M, et al.: Drawing the same bounding box twice? Coping noisy annotations in object detection with repeated labels. arXiv. 2023, 2309.09742.</w:t>
      </w:r>
    </w:p>
    <w:p>
      <w:pPr>
        <w:keepNext w:val="0"/>
        <w:spacing w:before="0" w:after="60"/>
        <w:jc w:val="left"/>
      </w:pPr>
      <w:r>
        <w:rPr>
          <w:rFonts w:ascii="Times New Roman" w:hAnsi="Times New Roman" w:eastAsia="Times New Roman"/>
          <w:sz w:val="17"/>
        </w:rPr>
        <w:t xml:space="preserve">12. </w:t>
      </w:r>
      <w:r>
        <w:rPr>
          <w:rFonts w:ascii="Times New Roman" w:hAnsi="Times New Roman" w:eastAsia="Times New Roman"/>
          <w:b w:val="0"/>
          <w:i w:val="0"/>
          <w:sz w:val="17"/>
        </w:rPr>
        <w:t>Kogan L, Rios MV: Detection and classification of (pre)cancerous cells in Pap smears: an ensemble strategy for the RIVA Cervical Cytology Challenge. arXiv. 2026, 2603.23742.</w:t>
      </w:r>
    </w:p>
    <w:p>
      <w:pPr>
        <w:keepNext w:val="0"/>
        <w:spacing w:before="0" w:after="60"/>
        <w:jc w:val="left"/>
      </w:pPr>
      <w:r>
        <w:rPr>
          <w:rFonts w:ascii="Times New Roman" w:hAnsi="Times New Roman" w:eastAsia="Times New Roman"/>
          <w:sz w:val="17"/>
        </w:rPr>
        <w:t xml:space="preserve">13. </w:t>
      </w:r>
      <w:r>
        <w:rPr>
          <w:rFonts w:ascii="Times New Roman" w:hAnsi="Times New Roman" w:eastAsia="Times New Roman"/>
          <w:b w:val="0"/>
          <w:i w:val="0"/>
          <w:sz w:val="17"/>
        </w:rPr>
        <w:t>RIVA database. Zenodo. 2024. 10.5281/zenodo.17288879</w:t>
      </w:r>
    </w:p>
    <w:p>
      <w:pPr>
        <w:keepNext w:val="0"/>
        <w:spacing w:before="0" w:after="60"/>
        <w:jc w:val="left"/>
      </w:pPr>
      <w:r>
        <w:rPr>
          <w:rFonts w:ascii="Times New Roman" w:hAnsi="Times New Roman" w:eastAsia="Times New Roman"/>
          <w:sz w:val="17"/>
        </w:rPr>
        <w:t xml:space="preserve">14. </w:t>
      </w:r>
      <w:r>
        <w:rPr>
          <w:rFonts w:ascii="Times New Roman" w:hAnsi="Times New Roman" w:eastAsia="Times New Roman"/>
          <w:b w:val="0"/>
          <w:i w:val="0"/>
          <w:sz w:val="17"/>
        </w:rPr>
        <w:t>Ester M, Kriegel H-P, Sander J, Xu X: A density-based algorithm for discovering clusters in large spatial databases with noise. Proc 2nd Int Conf Knowl Discov Data Min (KDD-96). AAAI Press; 1996, 226-231.</w:t>
      </w:r>
    </w:p>
    <w:p>
      <w:pPr>
        <w:keepNext w:val="0"/>
        <w:spacing w:before="0" w:after="60"/>
        <w:jc w:val="left"/>
      </w:pPr>
      <w:r>
        <w:rPr>
          <w:rFonts w:ascii="Times New Roman" w:hAnsi="Times New Roman" w:eastAsia="Times New Roman"/>
          <w:sz w:val="17"/>
        </w:rPr>
        <w:t xml:space="preserve">15. </w:t>
      </w:r>
      <w:r>
        <w:rPr>
          <w:rFonts w:ascii="Times New Roman" w:hAnsi="Times New Roman" w:eastAsia="Times New Roman"/>
          <w:b w:val="0"/>
          <w:i w:val="0"/>
          <w:sz w:val="17"/>
        </w:rPr>
        <w:t>He K, Zhang X, Ren S, Sun J: Deep residual learning for image recognition. Proc IEEE Conf Comput Vis Pattern Recognit (CVPR). 2016, 770-778. 10.1109/CVPR.2016.90</w:t>
      </w:r>
    </w:p>
    <w:p>
      <w:pPr>
        <w:keepNext w:val="0"/>
        <w:spacing w:before="0" w:after="60"/>
        <w:jc w:val="left"/>
      </w:pPr>
      <w:r>
        <w:rPr>
          <w:rFonts w:ascii="Times New Roman" w:hAnsi="Times New Roman" w:eastAsia="Times New Roman"/>
          <w:sz w:val="17"/>
        </w:rPr>
        <w:t xml:space="preserve">16. </w:t>
      </w:r>
      <w:r>
        <w:rPr>
          <w:rFonts w:ascii="Times New Roman" w:hAnsi="Times New Roman" w:eastAsia="Times New Roman"/>
          <w:b w:val="0"/>
          <w:i w:val="0"/>
          <w:sz w:val="17"/>
        </w:rPr>
        <w:t>Oquab M, Darcet T, Moutakanni T, et al.: DINOv2: learning robust visual features without supervision. Trans Mach Learn Res. 2024. arXiv:2304.07193</w:t>
      </w:r>
    </w:p>
    <w:p>
      <w:pPr>
        <w:keepNext w:val="0"/>
        <w:spacing w:before="0" w:after="60"/>
        <w:jc w:val="left"/>
      </w:pPr>
      <w:r>
        <w:rPr>
          <w:rFonts w:ascii="Times New Roman" w:hAnsi="Times New Roman" w:eastAsia="Times New Roman"/>
          <w:sz w:val="17"/>
        </w:rPr>
        <w:t xml:space="preserve">17. </w:t>
      </w:r>
      <w:r>
        <w:rPr>
          <w:rFonts w:ascii="Times New Roman" w:hAnsi="Times New Roman" w:eastAsia="Times New Roman"/>
          <w:b w:val="0"/>
          <w:i w:val="0"/>
          <w:sz w:val="17"/>
        </w:rPr>
        <w:t>Chao A: Estimating the population size for capture-recapture data with unequal catchability. Biometrics. 1987, 43:783-791. 10.2307/2531532</w:t>
      </w:r>
    </w:p>
    <w:p>
      <w:pPr>
        <w:keepNext w:val="0"/>
        <w:spacing w:before="0" w:after="60"/>
        <w:jc w:val="left"/>
      </w:pPr>
      <w:r>
        <w:rPr>
          <w:rFonts w:ascii="Times New Roman" w:hAnsi="Times New Roman" w:eastAsia="Times New Roman"/>
          <w:sz w:val="17"/>
        </w:rPr>
        <w:t xml:space="preserve">18. </w:t>
      </w:r>
      <w:r>
        <w:rPr>
          <w:rFonts w:ascii="Times New Roman" w:hAnsi="Times New Roman" w:eastAsia="Times New Roman"/>
          <w:b w:val="0"/>
          <w:i w:val="0"/>
          <w:sz w:val="17"/>
        </w:rPr>
        <w:t>Elkan C, Noto K: Learning classifiers from only positive and unlabeled data. Proc 14th ACM SIGKDD Int Conf Knowl Discov Data Min. 2008, 213-220. 10.1145/1401890.1401920</w:t>
      </w:r>
    </w:p>
    <w:p>
      <w:pPr>
        <w:keepNext w:val="0"/>
        <w:spacing w:before="0" w:after="60"/>
        <w:jc w:val="left"/>
      </w:pPr>
      <w:r>
        <w:rPr>
          <w:rFonts w:ascii="Times New Roman" w:hAnsi="Times New Roman" w:eastAsia="Times New Roman"/>
          <w:sz w:val="17"/>
        </w:rPr>
        <w:t xml:space="preserve">19. </w:t>
      </w:r>
      <w:r>
        <w:rPr>
          <w:rFonts w:ascii="Times New Roman" w:hAnsi="Times New Roman" w:eastAsia="Times New Roman"/>
          <w:b w:val="0"/>
          <w:i w:val="0"/>
          <w:sz w:val="17"/>
        </w:rPr>
        <w:t>Kiryo R, Niu G, du Plessis MC, Sugiyama M: Positive-unlabeled learning with non-negative risk estimator. Adv Neural Inf Process Syst. 2017, 30. arXiv:1703.00593</w:t>
      </w:r>
    </w:p>
    <w:p>
      <w:pPr>
        <w:keepNext w:val="0"/>
        <w:spacing w:before="0" w:after="60"/>
        <w:jc w:val="left"/>
      </w:pPr>
      <w:r>
        <w:rPr>
          <w:rFonts w:ascii="Times New Roman" w:hAnsi="Times New Roman" w:eastAsia="Times New Roman"/>
          <w:sz w:val="17"/>
        </w:rPr>
        <w:t xml:space="preserve">20. </w:t>
      </w:r>
      <w:r>
        <w:rPr>
          <w:rFonts w:ascii="Times New Roman" w:hAnsi="Times New Roman" w:eastAsia="Times New Roman"/>
          <w:b w:val="0"/>
          <w:i w:val="0"/>
          <w:sz w:val="17"/>
        </w:rPr>
        <w:t>Geifman Y, El-Yaniv R: Selective classification for deep neural networks. Adv Neural Inf Process Syst. 2017, 30. arXiv:1705.08500</w:t>
      </w:r>
    </w:p>
    <w:p>
      <w:pPr>
        <w:keepNext w:val="0"/>
        <w:spacing w:before="0" w:after="60"/>
        <w:jc w:val="left"/>
      </w:pPr>
      <w:r>
        <w:rPr>
          <w:rFonts w:ascii="Times New Roman" w:hAnsi="Times New Roman" w:eastAsia="Times New Roman"/>
          <w:sz w:val="17"/>
        </w:rPr>
        <w:t xml:space="preserve">21. </w:t>
      </w:r>
      <w:r>
        <w:rPr>
          <w:rFonts w:ascii="Times New Roman" w:hAnsi="Times New Roman" w:eastAsia="Times New Roman"/>
          <w:b w:val="0"/>
          <w:i w:val="0"/>
          <w:sz w:val="17"/>
        </w:rPr>
        <w:t>Mozannar H, Sontag D: Consistent estimators for learning to defer to an expert. Proc 37th Int Conf Mach Learn (ICML). 2020. arXiv:2006.01862</w:t>
      </w:r>
    </w:p>
    <w:p>
      <w:pPr>
        <w:keepNext w:val="0"/>
        <w:spacing w:before="0" w:after="60"/>
        <w:jc w:val="left"/>
      </w:pPr>
      <w:r>
        <w:rPr>
          <w:rFonts w:ascii="Times New Roman" w:hAnsi="Times New Roman" w:eastAsia="Times New Roman"/>
          <w:sz w:val="17"/>
        </w:rPr>
        <w:t xml:space="preserve">22. </w:t>
      </w:r>
      <w:r>
        <w:rPr>
          <w:rFonts w:ascii="Times New Roman" w:hAnsi="Times New Roman" w:eastAsia="Times New Roman"/>
          <w:b w:val="0"/>
          <w:i w:val="0"/>
          <w:sz w:val="17"/>
        </w:rPr>
        <w:t>Efron B, Tibshirani R: Bootstrap methods for standard errors, confidence intervals, and other measures of statistical accuracy. Stat Sci. 1986, 1:54-75. 10.1214/ss/1177013815</w:t>
      </w:r>
    </w:p>
    <w:p>
      <w:r>
        <w:br w:type="page"/>
      </w:r>
    </w:p>
    <w:p>
      <w:pPr>
        <w:keepNext w:val="0"/>
        <w:spacing w:before="0" w:after="160"/>
        <w:jc w:val="left"/>
        <w:shd w:val="clear" w:color="auto" w:fill="FDECEC"/>
        <w:pBdr>
          <w:top w:val="single" w:sz="8" w:space="6" w:color="C00000"/>
          <w:left w:val="single" w:sz="8" w:space="6" w:color="C00000"/>
          <w:bottom w:val="single" w:sz="8" w:space="6" w:color="C00000"/>
          <w:right w:val="single" w:sz="8" w:space="6" w:color="C00000"/>
        </w:pBdr>
      </w:pPr>
      <w:r>
        <w:rPr>
          <w:rFonts w:ascii="Times New Roman" w:hAnsi="Times New Roman" w:eastAsia="Times New Roman"/>
          <w:b/>
          <w:i w:val="0"/>
          <w:color w:val="C00000"/>
          <w:sz w:val="22"/>
        </w:rPr>
        <w:t>AUTHOR ACTION LIST - NOT PART OF THE MANUSCRIPT; DELETE THIS PAGE BEFORE SUBMISSION</w:t>
      </w:r>
    </w:p>
    <w:p>
      <w:pPr>
        <w:keepNext w:val="0"/>
        <w:spacing w:before="0" w:after="80"/>
        <w:ind w:left="432" w:hanging="432"/>
        <w:jc w:val="left"/>
      </w:pPr>
      <w:r>
        <w:rPr>
          <w:rFonts w:ascii="Times New Roman" w:hAnsi="Times New Roman" w:eastAsia="Times New Roman"/>
          <w:sz w:val="19"/>
        </w:rPr>
        <w:t xml:space="preserve">1.  </w:t>
      </w:r>
      <w:r>
        <w:rPr>
          <w:rFonts w:ascii="Times New Roman" w:hAnsi="Times New Roman" w:eastAsia="Times New Roman"/>
          <w:b/>
          <w:sz w:val="19"/>
        </w:rPr>
        <w:t>Figures.</w:t>
      </w:r>
      <w:r>
        <w:rPr>
          <w:rFonts w:ascii="Times New Roman" w:hAnsi="Times New Roman" w:eastAsia="Times New Roman"/>
          <w:b w:val="0"/>
          <w:sz w:val="19"/>
        </w:rPr>
        <w:t xml:space="preserve"> Figures 1 to 8 are in the manuscript; the image files are in </w:t>
      </w:r>
      <w:r>
        <w:rPr>
          <w:rFonts w:ascii="Times New Roman" w:hAnsi="Times New Roman" w:eastAsia="Times New Roman"/>
          <w:b w:val="0"/>
          <w:sz w:val="19"/>
        </w:rPr>
        <w:t>paper/figures/</w:t>
      </w:r>
      <w:r>
        <w:rPr>
          <w:rFonts w:ascii="Times New Roman" w:hAnsi="Times New Roman" w:eastAsia="Times New Roman"/>
          <w:b w:val="0"/>
          <w:sz w:val="19"/>
        </w:rPr>
        <w:t xml:space="preserve"> in the repository. Check each figure against the numbers in the text, and regenerate them with src/make_figures.py if any result changes.</w:t>
      </w:r>
    </w:p>
    <w:p>
      <w:pPr>
        <w:keepNext w:val="0"/>
        <w:spacing w:before="0" w:after="80"/>
        <w:ind w:left="432" w:hanging="432"/>
        <w:jc w:val="left"/>
      </w:pPr>
      <w:r>
        <w:rPr>
          <w:rFonts w:ascii="Times New Roman" w:hAnsi="Times New Roman" w:eastAsia="Times New Roman"/>
          <w:sz w:val="19"/>
        </w:rPr>
        <w:t xml:space="preserve">2.  </w:t>
      </w:r>
      <w:r>
        <w:rPr>
          <w:rFonts w:ascii="Times New Roman" w:hAnsi="Times New Roman" w:eastAsia="Times New Roman"/>
          <w:b/>
          <w:sz w:val="19"/>
        </w:rPr>
        <w:t>References still to confirm.</w:t>
      </w:r>
      <w:r>
        <w:rPr>
          <w:rFonts w:ascii="Times New Roman" w:hAnsi="Times New Roman" w:eastAsia="Times New Roman"/>
          <w:b w:val="0"/>
          <w:sz w:val="19"/>
        </w:rPr>
        <w:t xml:space="preserve"> All 22 were checked on 11 October 2026 against Crossref, arXiv, JMLR, AAAI and PubMed Central for authors, title and venue. Confirm on the publisher pages: end pages of references 2 and 17, the page range of reference 14, journal details of reference 16 (DINOv2, TMLR), and whether references 9 and 11 have a published version. Reference 13 has no author list on the Zenodo record; add the dataset creators if you want it in author-title form.</w:t>
      </w:r>
    </w:p>
    <w:p>
      <w:pPr>
        <w:keepNext w:val="0"/>
        <w:spacing w:before="0" w:after="80"/>
        <w:ind w:left="432" w:hanging="432"/>
        <w:jc w:val="left"/>
      </w:pPr>
      <w:r>
        <w:rPr>
          <w:rFonts w:ascii="Times New Roman" w:hAnsi="Times New Roman" w:eastAsia="Times New Roman"/>
          <w:sz w:val="19"/>
        </w:rPr>
        <w:t xml:space="preserve">3.  </w:t>
      </w:r>
      <w:r>
        <w:rPr>
          <w:rFonts w:ascii="Times New Roman" w:hAnsi="Times New Roman" w:eastAsia="Times New Roman"/>
          <w:b/>
          <w:sz w:val="19"/>
        </w:rPr>
        <w:t>Reproduce the numbers.</w:t>
      </w:r>
      <w:r>
        <w:rPr>
          <w:rFonts w:ascii="Times New Roman" w:hAnsi="Times New Roman" w:eastAsia="Times New Roman"/>
          <w:b w:val="0"/>
          <w:sz w:val="19"/>
        </w:rPr>
        <w:t xml:space="preserve"> The reader-behaviour statistics (Table 2) and the mixture model were re-run from </w:t>
      </w:r>
      <w:r>
        <w:rPr>
          <w:rFonts w:ascii="Times New Roman" w:hAnsi="Times New Roman" w:eastAsia="Times New Roman"/>
          <w:b w:val="0"/>
          <w:sz w:val="19"/>
        </w:rPr>
        <w:t>src/reader_behaviour.py</w:t>
      </w:r>
      <w:r>
        <w:rPr>
          <w:rFonts w:ascii="Times New Roman" w:hAnsi="Times New Roman" w:eastAsia="Times New Roman"/>
          <w:b w:val="0"/>
          <w:sz w:val="19"/>
        </w:rPr>
        <w:t xml:space="preserve"> and </w:t>
      </w:r>
      <w:r>
        <w:rPr>
          <w:rFonts w:ascii="Times New Roman" w:hAnsi="Times New Roman" w:eastAsia="Times New Roman"/>
          <w:b w:val="0"/>
          <w:sz w:val="19"/>
        </w:rPr>
        <w:t>src/mixture_model.py</w:t>
      </w:r>
      <w:r>
        <w:rPr>
          <w:rFonts w:ascii="Times New Roman" w:hAnsi="Times New Roman" w:eastAsia="Times New Roman"/>
          <w:b w:val="0"/>
          <w:sz w:val="19"/>
        </w:rPr>
        <w:t xml:space="preserve"> and match; the image check differs from the first notebook run (47 to 70 percent against 53 to 73), and the manuscript uses the repository figures. Confirm the repository results are the ones you cite.</w:t>
      </w:r>
    </w:p>
    <w:p>
      <w:pPr>
        <w:keepNext w:val="0"/>
        <w:spacing w:before="0" w:after="80"/>
        <w:ind w:left="432" w:hanging="432"/>
        <w:jc w:val="left"/>
      </w:pPr>
      <w:r>
        <w:rPr>
          <w:rFonts w:ascii="Times New Roman" w:hAnsi="Times New Roman" w:eastAsia="Times New Roman"/>
          <w:sz w:val="19"/>
        </w:rPr>
        <w:t xml:space="preserve">4.  </w:t>
      </w:r>
      <w:r>
        <w:rPr>
          <w:rFonts w:ascii="Times New Roman" w:hAnsi="Times New Roman" w:eastAsia="Times New Roman"/>
          <w:b/>
          <w:sz w:val="19"/>
        </w:rPr>
        <w:t>Authorship.</w:t>
      </w:r>
      <w:r>
        <w:rPr>
          <w:rFonts w:ascii="Times New Roman" w:hAnsi="Times New Roman" w:eastAsia="Times New Roman"/>
          <w:b w:val="0"/>
          <w:sz w:val="19"/>
        </w:rPr>
        <w:t xml:space="preserve"> Add co-authors, affiliations, corresponding author and the supervisor's position.</w:t>
      </w:r>
    </w:p>
    <w:p>
      <w:pPr>
        <w:keepNext w:val="0"/>
        <w:spacing w:before="0" w:after="80"/>
        <w:ind w:left="432" w:hanging="432"/>
        <w:jc w:val="left"/>
      </w:pPr>
      <w:r>
        <w:rPr>
          <w:rFonts w:ascii="Times New Roman" w:hAnsi="Times New Roman" w:eastAsia="Times New Roman"/>
          <w:sz w:val="19"/>
        </w:rPr>
        <w:t xml:space="preserve">5.  </w:t>
      </w:r>
      <w:r>
        <w:rPr>
          <w:rFonts w:ascii="Times New Roman" w:hAnsi="Times New Roman" w:eastAsia="Times New Roman"/>
          <w:b/>
          <w:sz w:val="19"/>
        </w:rPr>
        <w:t>Target journal.</w:t>
      </w:r>
      <w:r>
        <w:rPr>
          <w:rFonts w:ascii="Times New Roman" w:hAnsi="Times New Roman" w:eastAsia="Times New Roman"/>
          <w:b w:val="0"/>
          <w:sz w:val="19"/>
        </w:rPr>
        <w:t xml:space="preserve"> Choose the journal, then apply its template, reference style, word limit and section names; check its fee and waiver options.</w:t>
      </w:r>
    </w:p>
    <w:p>
      <w:pPr>
        <w:keepNext w:val="0"/>
        <w:spacing w:before="0" w:after="80"/>
        <w:ind w:left="432" w:hanging="432"/>
        <w:jc w:val="left"/>
      </w:pPr>
      <w:r>
        <w:rPr>
          <w:rFonts w:ascii="Times New Roman" w:hAnsi="Times New Roman" w:eastAsia="Times New Roman"/>
          <w:sz w:val="19"/>
        </w:rPr>
        <w:t xml:space="preserve">6.  </w:t>
      </w:r>
      <w:r>
        <w:rPr>
          <w:rFonts w:ascii="Times New Roman" w:hAnsi="Times New Roman" w:eastAsia="Times New Roman"/>
          <w:b/>
          <w:sz w:val="19"/>
        </w:rPr>
        <w:t>Licence.</w:t>
      </w:r>
      <w:r>
        <w:rPr>
          <w:rFonts w:ascii="Times New Roman" w:hAnsi="Times New Roman" w:eastAsia="Times New Roman"/>
          <w:b w:val="0"/>
          <w:sz w:val="19"/>
        </w:rPr>
        <w:t xml:space="preserve"> The three licence statements for RIVA differ. Ask the RIVA authors which applies, or state exactly what you did (non-commercial analysis, no redistribution of images or derived crops).</w:t>
      </w:r>
    </w:p>
    <w:p>
      <w:pPr>
        <w:keepNext w:val="0"/>
        <w:spacing w:before="0" w:after="80"/>
        <w:ind w:left="432" w:hanging="432"/>
        <w:jc w:val="left"/>
      </w:pPr>
      <w:r>
        <w:rPr>
          <w:rFonts w:ascii="Times New Roman" w:hAnsi="Times New Roman" w:eastAsia="Times New Roman"/>
          <w:sz w:val="19"/>
        </w:rPr>
        <w:t xml:space="preserve">7.  </w:t>
      </w:r>
      <w:r>
        <w:rPr>
          <w:rFonts w:ascii="Times New Roman" w:hAnsi="Times New Roman" w:eastAsia="Times New Roman"/>
          <w:b/>
          <w:sz w:val="19"/>
        </w:rPr>
        <w:t>Code.</w:t>
      </w:r>
      <w:r>
        <w:rPr>
          <w:rFonts w:ascii="Times New Roman" w:hAnsi="Times New Roman" w:eastAsia="Times New Roman"/>
          <w:b w:val="0"/>
          <w:sz w:val="19"/>
        </w:rPr>
        <w:t xml:space="preserve"> The repository is public and cited in the Declarations (commit 155ebe3). If you change the code before submission, update the commit hash, and consider tagging a release.</w:t>
      </w:r>
    </w:p>
    <w:p>
      <w:pPr>
        <w:keepNext w:val="0"/>
        <w:spacing w:before="0" w:after="80"/>
        <w:ind w:left="432" w:hanging="432"/>
        <w:jc w:val="left"/>
      </w:pPr>
      <w:r>
        <w:rPr>
          <w:rFonts w:ascii="Times New Roman" w:hAnsi="Times New Roman" w:eastAsia="Times New Roman"/>
          <w:sz w:val="19"/>
        </w:rPr>
        <w:t xml:space="preserve">8.  </w:t>
      </w:r>
      <w:r>
        <w:rPr>
          <w:rFonts w:ascii="Times New Roman" w:hAnsi="Times New Roman" w:eastAsia="Times New Roman"/>
          <w:b/>
          <w:sz w:val="19"/>
        </w:rPr>
        <w:t>Optional strengthening.</w:t>
      </w:r>
      <w:r>
        <w:rPr>
          <w:rFonts w:ascii="Times New Roman" w:hAnsi="Times New Roman" w:eastAsia="Times New Roman"/>
          <w:b w:val="0"/>
          <w:sz w:val="19"/>
        </w:rPr>
        <w:t xml:space="preserve"> Use the 573 real single-reader patches with a cell proposer; add a fine-tuned detector or a pathology foundation model; add an independent or adjudicated reference if one becomes available.</w:t>
      </w:r>
    </w:p>
    <w:p>
      <w:pPr>
        <w:keepNext w:val="0"/>
        <w:spacing w:before="0" w:after="80"/>
        <w:ind w:left="432" w:hanging="432"/>
        <w:jc w:val="left"/>
      </w:pPr>
      <w:r>
        <w:rPr>
          <w:rFonts w:ascii="Times New Roman" w:hAnsi="Times New Roman" w:eastAsia="Times New Roman"/>
          <w:sz w:val="19"/>
        </w:rPr>
        <w:t xml:space="preserve">9.  </w:t>
      </w:r>
      <w:r>
        <w:rPr>
          <w:rFonts w:ascii="Times New Roman" w:hAnsi="Times New Roman" w:eastAsia="Times New Roman"/>
          <w:b/>
          <w:sz w:val="19"/>
        </w:rPr>
        <w:t>AI-assistance disclosure.</w:t>
      </w:r>
      <w:r>
        <w:rPr>
          <w:rFonts w:ascii="Times New Roman" w:hAnsi="Times New Roman" w:eastAsia="Times New Roman"/>
          <w:b w:val="0"/>
          <w:sz w:val="19"/>
        </w:rPr>
        <w:t xml:space="preserve"> Adapt the statement to the target journal's policy.</w:t>
      </w:r>
    </w:p>
    <w:p>
      <w:pPr>
        <w:keepNext w:val="0"/>
        <w:spacing w:before="0" w:after="80"/>
        <w:ind w:left="432" w:hanging="432"/>
        <w:jc w:val="left"/>
      </w:pPr>
      <w:r>
        <w:rPr>
          <w:rFonts w:ascii="Times New Roman" w:hAnsi="Times New Roman" w:eastAsia="Times New Roman"/>
          <w:sz w:val="19"/>
        </w:rPr>
        <w:t xml:space="preserve">10.  </w:t>
      </w:r>
      <w:r>
        <w:rPr>
          <w:rFonts w:ascii="Times New Roman" w:hAnsi="Times New Roman" w:eastAsia="Times New Roman"/>
          <w:b/>
          <w:sz w:val="19"/>
        </w:rPr>
        <w:t>Words and sections.</w:t>
      </w:r>
      <w:r>
        <w:rPr>
          <w:rFonts w:ascii="Times New Roman" w:hAnsi="Times New Roman" w:eastAsia="Times New Roman"/>
          <w:b w:val="0"/>
          <w:sz w:val="19"/>
        </w:rPr>
        <w:t xml:space="preserve"> The brain tumour manuscript runs about 4,400 words; this draft is shorter. Check the journal's word limit before adding material.</w:t>
      </w:r>
    </w:p>
    <w:sectPr w:rsidR="00FC693F" w:rsidRPr="0006063C" w:rsidSect="00034616">
      <w:pgSz w:w="12240" w:h="15840"/>
      <w:pgMar w:top="1296" w:right="1296" w:bottom="1296" w:left="1296" w:header="720" w:footer="720" w:gutter="0"/>
      <w:docGrid w:linePitch="360"/>
      <w:cols w:num="1" w:space="4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