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096" w:rsidRDefault="007B0A14" w:rsidP="00AE7096">
      <w:pPr>
        <w:pStyle w:val="a7"/>
        <w:spacing w:beforeLines="1500" w:before="4680"/>
        <w:rPr>
          <w:sz w:val="44"/>
          <w:szCs w:val="44"/>
        </w:rPr>
      </w:pPr>
      <w:bookmarkStart w:id="0" w:name="_GoBack"/>
      <w:bookmarkEnd w:id="0"/>
      <w:r w:rsidRPr="007B0A14">
        <w:rPr>
          <w:rFonts w:hint="eastAsia"/>
          <w:sz w:val="44"/>
          <w:szCs w:val="44"/>
        </w:rPr>
        <w:t>XXX</w:t>
      </w:r>
      <w:r w:rsidRPr="007B0A14">
        <w:rPr>
          <w:sz w:val="44"/>
          <w:szCs w:val="44"/>
        </w:rPr>
        <w:t>年</w:t>
      </w:r>
      <w:r w:rsidR="00AE7096">
        <w:rPr>
          <w:rFonts w:hint="eastAsia"/>
          <w:sz w:val="44"/>
          <w:szCs w:val="44"/>
        </w:rPr>
        <w:t>GJB</w:t>
      </w:r>
      <w:r w:rsidR="00AE7096">
        <w:rPr>
          <w:sz w:val="44"/>
          <w:szCs w:val="44"/>
        </w:rPr>
        <w:t>5000B</w:t>
      </w:r>
    </w:p>
    <w:p w:rsidR="00F46931" w:rsidRDefault="00BE262B" w:rsidP="00AE7096">
      <w:pPr>
        <w:pStyle w:val="a7"/>
        <w:spacing w:beforeLines="0" w:before="0"/>
        <w:rPr>
          <w:sz w:val="44"/>
          <w:szCs w:val="44"/>
        </w:rPr>
      </w:pPr>
      <w:r>
        <w:rPr>
          <w:rFonts w:hint="eastAsia"/>
          <w:sz w:val="44"/>
          <w:szCs w:val="44"/>
        </w:rPr>
        <w:t>二级</w:t>
      </w:r>
      <w:r w:rsidR="003F1050" w:rsidRPr="007B0A14">
        <w:rPr>
          <w:rFonts w:hint="eastAsia"/>
          <w:sz w:val="44"/>
          <w:szCs w:val="44"/>
        </w:rPr>
        <w:t>内部评估</w:t>
      </w:r>
      <w:r w:rsidR="003F1050" w:rsidRPr="007B0A14">
        <w:rPr>
          <w:sz w:val="44"/>
          <w:szCs w:val="44"/>
        </w:rPr>
        <w:t>计划</w:t>
      </w:r>
    </w:p>
    <w:p w:rsidR="007B0A14" w:rsidRPr="007B0A14" w:rsidRDefault="007B0A14" w:rsidP="007B0A14"/>
    <w:p w:rsidR="006623DD" w:rsidRDefault="006623DD" w:rsidP="006623DD"/>
    <w:p w:rsidR="007B0A14" w:rsidRDefault="007B0A14" w:rsidP="006623DD"/>
    <w:p w:rsidR="007B0A14" w:rsidRDefault="007B0A14" w:rsidP="006623DD"/>
    <w:p w:rsidR="007B0A14" w:rsidRDefault="007B0A14" w:rsidP="006623DD"/>
    <w:tbl>
      <w:tblPr>
        <w:tblStyle w:val="a9"/>
        <w:tblW w:w="3983" w:type="dxa"/>
        <w:jc w:val="center"/>
        <w:tblLook w:val="04A0" w:firstRow="1" w:lastRow="0" w:firstColumn="1" w:lastColumn="0" w:noHBand="0" w:noVBand="1"/>
      </w:tblPr>
      <w:tblGrid>
        <w:gridCol w:w="1161"/>
        <w:gridCol w:w="2822"/>
      </w:tblGrid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拟制：</w:t>
            </w:r>
          </w:p>
        </w:tc>
        <w:tc>
          <w:tcPr>
            <w:tcW w:w="2822" w:type="dxa"/>
            <w:tcBorders>
              <w:top w:val="nil"/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审核：</w:t>
            </w:r>
          </w:p>
        </w:tc>
        <w:tc>
          <w:tcPr>
            <w:tcW w:w="2822" w:type="dxa"/>
            <w:tcBorders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  <w:tr w:rsidR="007B0A14" w:rsidRPr="006952D6" w:rsidTr="004A608B">
        <w:trPr>
          <w:jc w:val="center"/>
        </w:trPr>
        <w:tc>
          <w:tcPr>
            <w:tcW w:w="116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B0A14" w:rsidRPr="006952D6" w:rsidRDefault="007B0A14" w:rsidP="004A608B">
            <w:pPr>
              <w:ind w:leftChars="-170" w:left="-52" w:rightChars="30" w:right="72" w:hangingChars="127" w:hanging="356"/>
              <w:jc w:val="right"/>
              <w:rPr>
                <w:rFonts w:ascii="宋体" w:hAnsi="宋体"/>
                <w:sz w:val="28"/>
                <w:szCs w:val="28"/>
              </w:rPr>
            </w:pPr>
            <w:r w:rsidRPr="006952D6">
              <w:rPr>
                <w:rFonts w:ascii="宋体" w:hAnsi="宋体" w:hint="eastAsia"/>
                <w:sz w:val="28"/>
                <w:szCs w:val="28"/>
              </w:rPr>
              <w:t>批准：</w:t>
            </w:r>
          </w:p>
        </w:tc>
        <w:tc>
          <w:tcPr>
            <w:tcW w:w="2822" w:type="dxa"/>
            <w:tcBorders>
              <w:left w:val="nil"/>
              <w:right w:val="nil"/>
            </w:tcBorders>
          </w:tcPr>
          <w:p w:rsidR="007B0A14" w:rsidRPr="006952D6" w:rsidRDefault="007B0A14" w:rsidP="004A608B">
            <w:pPr>
              <w:ind w:firstLine="560"/>
              <w:rPr>
                <w:rFonts w:ascii="宋体" w:hAnsi="宋体"/>
                <w:sz w:val="28"/>
                <w:szCs w:val="28"/>
              </w:rPr>
            </w:pPr>
          </w:p>
        </w:tc>
      </w:tr>
    </w:tbl>
    <w:p w:rsidR="007B0A14" w:rsidRDefault="007B0A14" w:rsidP="006623DD"/>
    <w:p w:rsidR="007B0A14" w:rsidRDefault="007B0A14" w:rsidP="006623DD"/>
    <w:p w:rsidR="007B0A14" w:rsidRDefault="007B0A14" w:rsidP="006623DD"/>
    <w:p w:rsidR="00AE7096" w:rsidRDefault="00AE7096" w:rsidP="006623DD"/>
    <w:p w:rsidR="007B0A14" w:rsidRDefault="007B0A14" w:rsidP="006623DD"/>
    <w:p w:rsidR="007B0A14" w:rsidRDefault="00F42943" w:rsidP="007B0A14">
      <w:pPr>
        <w:jc w:val="left"/>
        <w:rPr>
          <w:rFonts w:ascii="黑体" w:eastAsia="黑体" w:hAnsi="黑体"/>
          <w:kern w:val="0"/>
          <w:sz w:val="28"/>
          <w:szCs w:val="28"/>
        </w:rPr>
      </w:pPr>
      <w:r w:rsidRPr="00F42943">
        <w:rPr>
          <w:rFonts w:ascii="黑体" w:eastAsia="黑体" w:hAnsi="黑体" w:hint="eastAsia"/>
          <w:spacing w:val="229"/>
          <w:kern w:val="0"/>
          <w:sz w:val="28"/>
          <w:szCs w:val="28"/>
          <w:fitText w:val="8400" w:id="-1411228672"/>
        </w:rPr>
        <w:t>成都中科合迅科技</w:t>
      </w:r>
      <w:r w:rsidR="007B0A14" w:rsidRPr="00F42943">
        <w:rPr>
          <w:rFonts w:ascii="黑体" w:eastAsia="黑体" w:hAnsi="黑体"/>
          <w:spacing w:val="229"/>
          <w:kern w:val="0"/>
          <w:sz w:val="28"/>
          <w:szCs w:val="28"/>
          <w:fitText w:val="8400" w:id="-1411228672"/>
        </w:rPr>
        <w:t>有限公</w:t>
      </w:r>
      <w:r w:rsidR="007B0A14" w:rsidRPr="00F42943">
        <w:rPr>
          <w:rFonts w:ascii="黑体" w:eastAsia="黑体" w:hAnsi="黑体"/>
          <w:spacing w:val="1"/>
          <w:kern w:val="0"/>
          <w:sz w:val="28"/>
          <w:szCs w:val="28"/>
          <w:fitText w:val="8400" w:id="-1411228672"/>
        </w:rPr>
        <w:t>司</w:t>
      </w:r>
    </w:p>
    <w:p w:rsidR="007B0A14" w:rsidRPr="007B0A14" w:rsidRDefault="007B0A14" w:rsidP="007B0A14">
      <w:pPr>
        <w:jc w:val="left"/>
        <w:rPr>
          <w:rFonts w:ascii="黑体" w:eastAsia="黑体" w:hAnsi="黑体"/>
          <w:spacing w:val="1"/>
          <w:kern w:val="0"/>
          <w:sz w:val="13"/>
          <w:szCs w:val="13"/>
        </w:rPr>
      </w:pPr>
    </w:p>
    <w:p w:rsidR="007B0A14" w:rsidRPr="007B0A14" w:rsidRDefault="007B0A14" w:rsidP="007B0A14">
      <w:pPr>
        <w:jc w:val="left"/>
        <w:rPr>
          <w:rFonts w:ascii="黑体" w:eastAsia="黑体" w:hAnsi="黑体"/>
          <w:spacing w:val="1"/>
          <w:kern w:val="0"/>
          <w:sz w:val="28"/>
          <w:szCs w:val="28"/>
        </w:rPr>
        <w:sectPr w:rsidR="007B0A14" w:rsidRPr="007B0A1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C16670" w:rsidRPr="004975AB" w:rsidRDefault="008E06C8" w:rsidP="004975AB">
      <w:pPr>
        <w:pStyle w:val="00"/>
      </w:pPr>
      <w:r w:rsidRPr="004975AB">
        <w:rPr>
          <w:rFonts w:hint="eastAsia"/>
        </w:rPr>
        <w:lastRenderedPageBreak/>
        <w:t>目的</w:t>
      </w:r>
      <w:r w:rsidRPr="004975AB">
        <w:t>及范围</w:t>
      </w:r>
    </w:p>
    <w:p w:rsidR="00C16670" w:rsidRDefault="00C16670" w:rsidP="004975AB">
      <w:pPr>
        <w:pStyle w:val="000"/>
      </w:pPr>
      <w:r w:rsidRPr="004975AB">
        <w:rPr>
          <w:rFonts w:hint="eastAsia"/>
        </w:rPr>
        <w:t>目的</w:t>
      </w:r>
    </w:p>
    <w:p w:rsidR="00583064" w:rsidRPr="00603037" w:rsidRDefault="00603037" w:rsidP="00583064">
      <w:pPr>
        <w:pStyle w:val="001"/>
        <w:rPr>
          <w:color w:val="FF0000"/>
        </w:rPr>
      </w:pPr>
      <w:r>
        <w:rPr>
          <w:rFonts w:hint="eastAsia"/>
          <w:color w:val="FF0000"/>
        </w:rPr>
        <w:t>简要</w:t>
      </w:r>
      <w:r>
        <w:rPr>
          <w:color w:val="FF0000"/>
        </w:rPr>
        <w:t>介绍开展内部评估的目的及要求。</w:t>
      </w:r>
    </w:p>
    <w:p w:rsidR="00C16670" w:rsidRDefault="00093A82" w:rsidP="004975AB">
      <w:pPr>
        <w:pStyle w:val="000"/>
      </w:pPr>
      <w:r w:rsidRPr="004975AB">
        <w:rPr>
          <w:rFonts w:hint="eastAsia"/>
        </w:rPr>
        <w:t>范围</w:t>
      </w:r>
    </w:p>
    <w:p w:rsidR="003F1764" w:rsidRPr="003F1764" w:rsidRDefault="003F1764" w:rsidP="003F1764">
      <w:pPr>
        <w:pStyle w:val="001"/>
        <w:rPr>
          <w:color w:val="FF0000"/>
        </w:rPr>
      </w:pPr>
      <w:r w:rsidRPr="003F1764">
        <w:rPr>
          <w:rFonts w:hint="eastAsia"/>
          <w:color w:val="FF0000"/>
        </w:rPr>
        <w:t>简要</w:t>
      </w:r>
      <w:r w:rsidRPr="003F1764">
        <w:rPr>
          <w:color w:val="FF0000"/>
        </w:rPr>
        <w:t>说明本次内部评估的体系范围、项目范围、部门范围等。</w:t>
      </w:r>
    </w:p>
    <w:p w:rsidR="00C16670" w:rsidRDefault="00DE2C88" w:rsidP="004975AB">
      <w:pPr>
        <w:pStyle w:val="00"/>
      </w:pPr>
      <w:r>
        <w:rPr>
          <w:rFonts w:hint="eastAsia"/>
        </w:rPr>
        <w:t>评估</w:t>
      </w:r>
      <w:r w:rsidR="00C16670">
        <w:rPr>
          <w:rFonts w:hint="eastAsia"/>
        </w:rPr>
        <w:t>依据</w:t>
      </w:r>
      <w:r w:rsidR="00295C18">
        <w:rPr>
          <w:rFonts w:hint="eastAsia"/>
        </w:rPr>
        <w:t>及</w:t>
      </w:r>
      <w:r>
        <w:t>评估</w:t>
      </w:r>
      <w:r w:rsidR="00C16670">
        <w:t>方法</w:t>
      </w:r>
    </w:p>
    <w:p w:rsidR="003F1764" w:rsidRDefault="00C403E1" w:rsidP="003F1764">
      <w:pPr>
        <w:pStyle w:val="001"/>
      </w:pPr>
      <w:r w:rsidRPr="001025BA">
        <w:rPr>
          <w:rFonts w:hint="eastAsia"/>
          <w:color w:val="FF0000"/>
        </w:rPr>
        <w:t>介绍</w:t>
      </w:r>
      <w:r w:rsidRPr="001025BA">
        <w:rPr>
          <w:color w:val="FF0000"/>
        </w:rPr>
        <w:t>本次内部评估</w:t>
      </w:r>
      <w:r w:rsidRPr="001025BA">
        <w:rPr>
          <w:rFonts w:hint="eastAsia"/>
          <w:color w:val="FF0000"/>
        </w:rPr>
        <w:t>计划</w:t>
      </w:r>
      <w:r w:rsidRPr="001025BA">
        <w:rPr>
          <w:color w:val="FF0000"/>
        </w:rPr>
        <w:t>采用的</w:t>
      </w:r>
      <w:r w:rsidRPr="001025BA">
        <w:rPr>
          <w:rFonts w:hint="eastAsia"/>
          <w:color w:val="FF0000"/>
        </w:rPr>
        <w:t>依据、评估</w:t>
      </w:r>
      <w:r w:rsidRPr="001025BA">
        <w:rPr>
          <w:color w:val="FF0000"/>
        </w:rPr>
        <w:t>办法</w:t>
      </w:r>
      <w:r w:rsidRPr="001025BA">
        <w:rPr>
          <w:rFonts w:hint="eastAsia"/>
          <w:color w:val="FF0000"/>
        </w:rPr>
        <w:t>、</w:t>
      </w:r>
      <w:r w:rsidRPr="001025BA">
        <w:rPr>
          <w:color w:val="FF0000"/>
        </w:rPr>
        <w:t>评价软件等依据或策划。</w:t>
      </w:r>
    </w:p>
    <w:p w:rsidR="00C16670" w:rsidRDefault="00C16670" w:rsidP="004975AB">
      <w:pPr>
        <w:pStyle w:val="00"/>
      </w:pPr>
      <w:r>
        <w:rPr>
          <w:rFonts w:hint="eastAsia"/>
        </w:rPr>
        <w:t>内部</w:t>
      </w:r>
      <w:r w:rsidR="00DE2C88">
        <w:t>评估</w:t>
      </w:r>
      <w:r>
        <w:t>组</w:t>
      </w:r>
    </w:p>
    <w:p w:rsidR="00C403E1" w:rsidRPr="001025BA" w:rsidRDefault="00C403E1" w:rsidP="00C403E1">
      <w:pPr>
        <w:pStyle w:val="001"/>
        <w:rPr>
          <w:color w:val="FF0000"/>
        </w:rPr>
      </w:pPr>
      <w:r w:rsidRPr="001025BA">
        <w:rPr>
          <w:rFonts w:hint="eastAsia"/>
          <w:color w:val="FF0000"/>
        </w:rPr>
        <w:t>介绍</w:t>
      </w:r>
      <w:r w:rsidRPr="001025BA">
        <w:rPr>
          <w:color w:val="FF0000"/>
        </w:rPr>
        <w:t>本次内部</w:t>
      </w:r>
      <w:r w:rsidRPr="001025BA">
        <w:rPr>
          <w:rFonts w:hint="eastAsia"/>
          <w:color w:val="FF0000"/>
        </w:rPr>
        <w:t>评估</w:t>
      </w:r>
      <w:r w:rsidRPr="001025BA">
        <w:rPr>
          <w:color w:val="FF0000"/>
        </w:rPr>
        <w:t>小组的成员及职责</w:t>
      </w:r>
      <w:r w:rsidRPr="001025BA">
        <w:rPr>
          <w:rFonts w:hint="eastAsia"/>
          <w:color w:val="FF0000"/>
        </w:rPr>
        <w:t>分工</w:t>
      </w:r>
      <w:r w:rsidRPr="001025BA">
        <w:rPr>
          <w:color w:val="FF0000"/>
        </w:rPr>
        <w:t>。</w:t>
      </w:r>
    </w:p>
    <w:p w:rsidR="00C16670" w:rsidRDefault="00C16670" w:rsidP="004975AB">
      <w:pPr>
        <w:pStyle w:val="00"/>
      </w:pPr>
      <w:r>
        <w:rPr>
          <w:rFonts w:hint="eastAsia"/>
        </w:rPr>
        <w:t>内部</w:t>
      </w:r>
      <w:r w:rsidR="00DE2C88">
        <w:t>评估</w:t>
      </w:r>
      <w:r>
        <w:t>日程</w:t>
      </w:r>
    </w:p>
    <w:p w:rsidR="00C16670" w:rsidRDefault="00093A82" w:rsidP="004975AB">
      <w:pPr>
        <w:pStyle w:val="000"/>
      </w:pPr>
      <w:r>
        <w:rPr>
          <w:rFonts w:hint="eastAsia"/>
        </w:rPr>
        <w:t>正式内部</w:t>
      </w:r>
      <w:r w:rsidR="00DE2C88">
        <w:t>评估</w:t>
      </w:r>
      <w:r>
        <w:t>时间</w:t>
      </w:r>
    </w:p>
    <w:p w:rsidR="00C403E1" w:rsidRPr="001025BA" w:rsidRDefault="00C403E1" w:rsidP="00C403E1">
      <w:pPr>
        <w:pStyle w:val="001"/>
        <w:rPr>
          <w:color w:val="FF0000"/>
        </w:rPr>
      </w:pPr>
      <w:r w:rsidRPr="001025BA">
        <w:rPr>
          <w:rFonts w:hint="eastAsia"/>
          <w:color w:val="FF0000"/>
        </w:rPr>
        <w:t>说明</w:t>
      </w:r>
      <w:r w:rsidRPr="001025BA">
        <w:rPr>
          <w:color w:val="FF0000"/>
        </w:rPr>
        <w:t>正式内部评估的时间（</w:t>
      </w:r>
      <w:proofErr w:type="gramStart"/>
      <w:r w:rsidRPr="001025BA">
        <w:rPr>
          <w:color w:val="FF0000"/>
        </w:rPr>
        <w:t>及首次会</w:t>
      </w:r>
      <w:proofErr w:type="gramEnd"/>
      <w:r w:rsidRPr="001025BA">
        <w:rPr>
          <w:color w:val="FF0000"/>
        </w:rPr>
        <w:t>到末次会</w:t>
      </w:r>
      <w:r w:rsidRPr="001025BA">
        <w:rPr>
          <w:rFonts w:hint="eastAsia"/>
          <w:color w:val="FF0000"/>
        </w:rPr>
        <w:t>的</w:t>
      </w:r>
      <w:r w:rsidRPr="001025BA">
        <w:rPr>
          <w:color w:val="FF0000"/>
        </w:rPr>
        <w:t>时间）</w:t>
      </w:r>
    </w:p>
    <w:p w:rsidR="00093A82" w:rsidRDefault="00F4330E" w:rsidP="004975AB">
      <w:pPr>
        <w:pStyle w:val="000"/>
      </w:pPr>
      <w:r>
        <w:rPr>
          <w:rFonts w:hint="eastAsia"/>
        </w:rPr>
        <w:t>内部</w:t>
      </w:r>
      <w:r w:rsidR="00DE2C88">
        <w:t>评估</w:t>
      </w:r>
      <w:r>
        <w:t>地点</w:t>
      </w:r>
    </w:p>
    <w:p w:rsidR="00DD4B40" w:rsidRPr="001025BA" w:rsidRDefault="00DD4B40" w:rsidP="00DD4B40">
      <w:pPr>
        <w:pStyle w:val="001"/>
        <w:rPr>
          <w:color w:val="FF0000"/>
        </w:rPr>
      </w:pPr>
      <w:r w:rsidRPr="001025BA">
        <w:rPr>
          <w:rFonts w:hint="eastAsia"/>
          <w:color w:val="FF0000"/>
        </w:rPr>
        <w:t>说明</w:t>
      </w:r>
      <w:r w:rsidRPr="001025BA">
        <w:rPr>
          <w:color w:val="FF0000"/>
        </w:rPr>
        <w:t>内部评估的办法。</w:t>
      </w:r>
    </w:p>
    <w:p w:rsidR="00F4330E" w:rsidRDefault="00F4330E" w:rsidP="004975AB">
      <w:pPr>
        <w:pStyle w:val="000"/>
      </w:pPr>
      <w:r>
        <w:rPr>
          <w:rFonts w:hint="eastAsia"/>
        </w:rPr>
        <w:t>内部</w:t>
      </w:r>
      <w:r w:rsidR="00DE2C88">
        <w:t>评估</w:t>
      </w:r>
      <w:r>
        <w:t>参与人员</w:t>
      </w:r>
    </w:p>
    <w:p w:rsidR="00DD4B40" w:rsidRDefault="00DD4B40" w:rsidP="00DD4B40">
      <w:pPr>
        <w:pStyle w:val="001"/>
      </w:pPr>
      <w:r w:rsidRPr="001025BA">
        <w:rPr>
          <w:rFonts w:hint="eastAsia"/>
          <w:color w:val="FF0000"/>
        </w:rPr>
        <w:t>说明正式</w:t>
      </w:r>
      <w:r w:rsidRPr="001025BA">
        <w:rPr>
          <w:color w:val="FF0000"/>
        </w:rPr>
        <w:t>内部评估期间需要参加的人员，例如，</w:t>
      </w:r>
      <w:r w:rsidRPr="001025BA">
        <w:rPr>
          <w:rFonts w:hint="eastAsia"/>
          <w:color w:val="FF0000"/>
        </w:rPr>
        <w:t>内部评价组、受审项目全体人员、受审部门经理等</w:t>
      </w:r>
      <w:r w:rsidRPr="001025BA">
        <w:rPr>
          <w:color w:val="FF0000"/>
        </w:rPr>
        <w:t>。</w:t>
      </w:r>
    </w:p>
    <w:p w:rsidR="00F4330E" w:rsidRDefault="00F4330E" w:rsidP="004975AB">
      <w:pPr>
        <w:pStyle w:val="000"/>
      </w:pPr>
      <w:r>
        <w:rPr>
          <w:rFonts w:hint="eastAsia"/>
        </w:rPr>
        <w:t>内部</w:t>
      </w:r>
      <w:r w:rsidR="00DE2C88">
        <w:t>评估</w:t>
      </w:r>
      <w:r>
        <w:t>方式</w:t>
      </w:r>
    </w:p>
    <w:p w:rsidR="000C2B74" w:rsidRPr="001025BA" w:rsidRDefault="000C2B74" w:rsidP="000C2B74">
      <w:pPr>
        <w:pStyle w:val="001"/>
        <w:rPr>
          <w:color w:val="FF0000"/>
        </w:rPr>
      </w:pPr>
      <w:r w:rsidRPr="001025BA">
        <w:rPr>
          <w:rFonts w:hint="eastAsia"/>
          <w:color w:val="FF0000"/>
        </w:rPr>
        <w:t>详细</w:t>
      </w:r>
      <w:r w:rsidRPr="001025BA">
        <w:rPr>
          <w:color w:val="FF0000"/>
        </w:rPr>
        <w:t>介绍评价的方式</w:t>
      </w:r>
      <w:r w:rsidRPr="001025BA">
        <w:rPr>
          <w:rFonts w:hint="eastAsia"/>
          <w:color w:val="FF0000"/>
        </w:rPr>
        <w:t>及其</w:t>
      </w:r>
      <w:r w:rsidRPr="001025BA">
        <w:rPr>
          <w:color w:val="FF0000"/>
        </w:rPr>
        <w:t>原则，例如抽查、普查、现场审查</w:t>
      </w:r>
      <w:r w:rsidRPr="001025BA">
        <w:rPr>
          <w:rFonts w:hint="eastAsia"/>
          <w:color w:val="FF0000"/>
        </w:rPr>
        <w:t>及</w:t>
      </w:r>
      <w:r w:rsidRPr="001025BA">
        <w:rPr>
          <w:color w:val="FF0000"/>
        </w:rPr>
        <w:t>访谈等。</w:t>
      </w:r>
    </w:p>
    <w:p w:rsidR="00F4330E" w:rsidRDefault="00F4330E" w:rsidP="004975AB">
      <w:pPr>
        <w:pStyle w:val="000"/>
      </w:pPr>
      <w:r>
        <w:rPr>
          <w:rFonts w:hint="eastAsia"/>
        </w:rPr>
        <w:t>内部</w:t>
      </w:r>
      <w:r w:rsidR="00DE2C88">
        <w:t>评估</w:t>
      </w:r>
      <w:r>
        <w:t>日程安排</w:t>
      </w:r>
    </w:p>
    <w:p w:rsidR="0002417D" w:rsidRPr="001025BA" w:rsidRDefault="0002417D" w:rsidP="0002417D">
      <w:pPr>
        <w:pStyle w:val="001"/>
        <w:rPr>
          <w:color w:val="FF0000"/>
        </w:rPr>
      </w:pPr>
      <w:r w:rsidRPr="001025BA">
        <w:rPr>
          <w:rFonts w:hint="eastAsia"/>
          <w:color w:val="FF0000"/>
        </w:rPr>
        <w:t>以表格</w:t>
      </w:r>
      <w:r w:rsidRPr="001025BA">
        <w:rPr>
          <w:color w:val="FF0000"/>
        </w:rPr>
        <w:t>的形式列出内部评估的</w:t>
      </w:r>
      <w:r w:rsidRPr="001025BA">
        <w:rPr>
          <w:rFonts w:hint="eastAsia"/>
          <w:color w:val="FF0000"/>
        </w:rPr>
        <w:t>日程</w:t>
      </w:r>
      <w:r w:rsidRPr="001025BA">
        <w:rPr>
          <w:color w:val="FF0000"/>
        </w:rPr>
        <w:t>安排，日程包括内部评估的准备会、</w:t>
      </w:r>
      <w:r w:rsidRPr="001025BA">
        <w:rPr>
          <w:rFonts w:hint="eastAsia"/>
          <w:color w:val="FF0000"/>
        </w:rPr>
        <w:t>首末次会</w:t>
      </w:r>
      <w:r w:rsidRPr="001025BA">
        <w:rPr>
          <w:color w:val="FF0000"/>
        </w:rPr>
        <w:t>，首末次会期间的审查安排、大致的整改时间</w:t>
      </w:r>
      <w:r w:rsidRPr="001025BA">
        <w:rPr>
          <w:rFonts w:hint="eastAsia"/>
          <w:color w:val="FF0000"/>
        </w:rPr>
        <w:t>段</w:t>
      </w:r>
      <w:r w:rsidRPr="001025BA">
        <w:rPr>
          <w:color w:val="FF0000"/>
        </w:rPr>
        <w:t>等。</w:t>
      </w:r>
    </w:p>
    <w:tbl>
      <w:tblPr>
        <w:tblStyle w:val="a9"/>
        <w:tblW w:w="9321" w:type="dxa"/>
        <w:jc w:val="center"/>
        <w:tblLook w:val="04A0" w:firstRow="1" w:lastRow="0" w:firstColumn="1" w:lastColumn="0" w:noHBand="0" w:noVBand="1"/>
      </w:tblPr>
      <w:tblGrid>
        <w:gridCol w:w="1838"/>
        <w:gridCol w:w="4961"/>
        <w:gridCol w:w="2522"/>
      </w:tblGrid>
      <w:tr w:rsidR="0002417D" w:rsidTr="004A608B">
        <w:trPr>
          <w:trHeight w:val="446"/>
          <w:jc w:val="center"/>
        </w:trPr>
        <w:tc>
          <w:tcPr>
            <w:tcW w:w="1838" w:type="dxa"/>
          </w:tcPr>
          <w:p w:rsidR="0002417D" w:rsidRDefault="0002417D" w:rsidP="004A608B">
            <w:pPr>
              <w:pStyle w:val="ac"/>
            </w:pPr>
            <w:r>
              <w:rPr>
                <w:rFonts w:hint="eastAsia"/>
              </w:rPr>
              <w:t>日程</w:t>
            </w:r>
            <w:r>
              <w:t>时间</w:t>
            </w:r>
          </w:p>
        </w:tc>
        <w:tc>
          <w:tcPr>
            <w:tcW w:w="4961" w:type="dxa"/>
          </w:tcPr>
          <w:p w:rsidR="0002417D" w:rsidRDefault="0002417D" w:rsidP="004A608B">
            <w:pPr>
              <w:pStyle w:val="ac"/>
            </w:pPr>
            <w:r>
              <w:rPr>
                <w:rFonts w:hint="eastAsia"/>
              </w:rPr>
              <w:t>日程</w:t>
            </w:r>
            <w:r>
              <w:t>安排</w:t>
            </w:r>
          </w:p>
        </w:tc>
        <w:tc>
          <w:tcPr>
            <w:tcW w:w="2522" w:type="dxa"/>
          </w:tcPr>
          <w:p w:rsidR="0002417D" w:rsidRDefault="0002417D" w:rsidP="004A608B">
            <w:pPr>
              <w:pStyle w:val="ac"/>
            </w:pPr>
            <w:r>
              <w:rPr>
                <w:rFonts w:hint="eastAsia"/>
              </w:rPr>
              <w:t>参与人员</w:t>
            </w:r>
          </w:p>
        </w:tc>
      </w:tr>
      <w:tr w:rsidR="0002417D" w:rsidRPr="00EA3544" w:rsidTr="004A608B">
        <w:trPr>
          <w:trHeight w:val="446"/>
          <w:jc w:val="center"/>
        </w:trPr>
        <w:tc>
          <w:tcPr>
            <w:tcW w:w="1838" w:type="dxa"/>
          </w:tcPr>
          <w:p w:rsidR="0002417D" w:rsidRDefault="0002417D" w:rsidP="004A608B">
            <w:pPr>
              <w:pStyle w:val="ad"/>
            </w:pPr>
          </w:p>
        </w:tc>
        <w:tc>
          <w:tcPr>
            <w:tcW w:w="4961" w:type="dxa"/>
          </w:tcPr>
          <w:p w:rsidR="0002417D" w:rsidRDefault="0002417D" w:rsidP="004A608B">
            <w:pPr>
              <w:pStyle w:val="ad"/>
              <w:jc w:val="left"/>
            </w:pPr>
          </w:p>
        </w:tc>
        <w:tc>
          <w:tcPr>
            <w:tcW w:w="2522" w:type="dxa"/>
          </w:tcPr>
          <w:p w:rsidR="0002417D" w:rsidRPr="00EA3544" w:rsidRDefault="0002417D" w:rsidP="004A608B">
            <w:pPr>
              <w:pStyle w:val="ad"/>
            </w:pPr>
          </w:p>
        </w:tc>
      </w:tr>
    </w:tbl>
    <w:p w:rsidR="0002417D" w:rsidRPr="0002417D" w:rsidRDefault="0002417D" w:rsidP="0002417D">
      <w:pPr>
        <w:pStyle w:val="001"/>
      </w:pPr>
    </w:p>
    <w:p w:rsidR="00BB7DA9" w:rsidRPr="00BB7DA9" w:rsidRDefault="00BB7DA9" w:rsidP="004975AB">
      <w:pPr>
        <w:pStyle w:val="00"/>
      </w:pPr>
      <w:r>
        <w:rPr>
          <w:rFonts w:hint="eastAsia"/>
        </w:rPr>
        <w:lastRenderedPageBreak/>
        <w:t>内部</w:t>
      </w:r>
      <w:r w:rsidR="00DE2C88">
        <w:t>评估</w:t>
      </w:r>
      <w:r>
        <w:t>整改</w:t>
      </w:r>
    </w:p>
    <w:p w:rsidR="00A6031F" w:rsidRDefault="00087F77" w:rsidP="001025BA">
      <w:pPr>
        <w:pStyle w:val="001"/>
        <w:rPr>
          <w:color w:val="FF0000"/>
        </w:rPr>
        <w:sectPr w:rsidR="00A6031F" w:rsidSect="009E7CE2">
          <w:headerReference w:type="default" r:id="rId13"/>
          <w:pgSz w:w="11906" w:h="16838" w:code="9"/>
          <w:pgMar w:top="1440" w:right="1803" w:bottom="1440" w:left="1803" w:header="851" w:footer="992" w:gutter="0"/>
          <w:cols w:space="425"/>
          <w:docGrid w:type="lines" w:linePitch="312"/>
        </w:sectPr>
      </w:pPr>
      <w:r w:rsidRPr="001025BA">
        <w:rPr>
          <w:rFonts w:hint="eastAsia"/>
          <w:color w:val="FF0000"/>
        </w:rPr>
        <w:t>简要</w:t>
      </w:r>
      <w:r w:rsidRPr="001025BA">
        <w:rPr>
          <w:color w:val="FF0000"/>
        </w:rPr>
        <w:t>介绍内部评估整改的基本</w:t>
      </w:r>
      <w:r w:rsidRPr="001025BA">
        <w:rPr>
          <w:rFonts w:hint="eastAsia"/>
          <w:color w:val="FF0000"/>
        </w:rPr>
        <w:t>方针</w:t>
      </w:r>
      <w:r w:rsidRPr="001025BA">
        <w:rPr>
          <w:color w:val="FF0000"/>
        </w:rPr>
        <w:t>，包括</w:t>
      </w:r>
      <w:r w:rsidR="00A769EE" w:rsidRPr="001025BA">
        <w:rPr>
          <w:rFonts w:hint="eastAsia"/>
          <w:color w:val="FF0000"/>
        </w:rPr>
        <w:t>整改</w:t>
      </w:r>
      <w:r w:rsidR="00A769EE" w:rsidRPr="001025BA">
        <w:rPr>
          <w:color w:val="FF0000"/>
        </w:rPr>
        <w:t>期限，整改跟踪负责人</w:t>
      </w:r>
      <w:r w:rsidR="00A769EE" w:rsidRPr="001025BA">
        <w:rPr>
          <w:rFonts w:hint="eastAsia"/>
          <w:color w:val="FF0000"/>
        </w:rPr>
        <w:t>等</w:t>
      </w:r>
      <w:r w:rsidR="00A769EE" w:rsidRPr="001025BA">
        <w:rPr>
          <w:color w:val="FF0000"/>
        </w:rPr>
        <w:t>。</w:t>
      </w:r>
    </w:p>
    <w:p w:rsidR="00F4330E" w:rsidRDefault="00F4330E" w:rsidP="001025BA">
      <w:pPr>
        <w:pStyle w:val="001"/>
        <w:rPr>
          <w:color w:val="FF0000"/>
        </w:rPr>
      </w:pPr>
    </w:p>
    <w:p w:rsidR="00A6031F" w:rsidRDefault="00A6031F" w:rsidP="00A6031F">
      <w:pPr>
        <w:pStyle w:val="002"/>
      </w:pPr>
      <w:r w:rsidRPr="00A6031F">
        <w:rPr>
          <w:rFonts w:hint="eastAsia"/>
        </w:rPr>
        <w:t>附件</w:t>
      </w:r>
      <w:r w:rsidRPr="00A6031F">
        <w:rPr>
          <w:rFonts w:hint="eastAsia"/>
        </w:rPr>
        <w:t>1</w:t>
      </w:r>
    </w:p>
    <w:p w:rsidR="00A6031F" w:rsidRPr="00F438B3" w:rsidRDefault="00A6031F" w:rsidP="00A6031F">
      <w:pPr>
        <w:pStyle w:val="-"/>
      </w:pPr>
      <w:r w:rsidRPr="00F438B3">
        <w:rPr>
          <w:rFonts w:hint="eastAsia"/>
        </w:rPr>
        <w:t>内部</w:t>
      </w:r>
      <w:r w:rsidRPr="00F438B3">
        <w:t>评价</w:t>
      </w:r>
      <w:r w:rsidRPr="00F438B3">
        <w:rPr>
          <w:rFonts w:hint="eastAsia"/>
        </w:rPr>
        <w:t>软件</w:t>
      </w:r>
      <w:r w:rsidRPr="00F438B3">
        <w:t>项目统计表</w:t>
      </w: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804"/>
        <w:gridCol w:w="1432"/>
        <w:gridCol w:w="2113"/>
        <w:gridCol w:w="1320"/>
        <w:gridCol w:w="1584"/>
        <w:gridCol w:w="3152"/>
        <w:gridCol w:w="1942"/>
        <w:gridCol w:w="1601"/>
      </w:tblGrid>
      <w:tr w:rsidR="00B2413C" w:rsidTr="00B2413C">
        <w:tc>
          <w:tcPr>
            <w:tcW w:w="288" w:type="pct"/>
          </w:tcPr>
          <w:p w:rsidR="00B2413C" w:rsidRPr="005800A3" w:rsidRDefault="00B2413C" w:rsidP="004A608B">
            <w:pPr>
              <w:pStyle w:val="ac"/>
            </w:pPr>
            <w:r>
              <w:rPr>
                <w:rFonts w:hint="eastAsia"/>
              </w:rPr>
              <w:t>序号</w:t>
            </w:r>
          </w:p>
        </w:tc>
        <w:tc>
          <w:tcPr>
            <w:tcW w:w="513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项目</w:t>
            </w:r>
            <w:r>
              <w:t>代号</w:t>
            </w:r>
          </w:p>
        </w:tc>
        <w:tc>
          <w:tcPr>
            <w:tcW w:w="757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473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所属</w:t>
            </w:r>
            <w:r>
              <w:t>部门</w:t>
            </w:r>
          </w:p>
        </w:tc>
        <w:tc>
          <w:tcPr>
            <w:tcW w:w="568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项目</w:t>
            </w:r>
            <w:r>
              <w:t>经理</w:t>
            </w:r>
          </w:p>
        </w:tc>
        <w:tc>
          <w:tcPr>
            <w:tcW w:w="1130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软件</w:t>
            </w:r>
            <w:r>
              <w:t>项目组成员及岗位</w:t>
            </w:r>
          </w:p>
        </w:tc>
        <w:tc>
          <w:tcPr>
            <w:tcW w:w="696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项目</w:t>
            </w:r>
            <w:r>
              <w:t>启动</w:t>
            </w:r>
            <w:r>
              <w:rPr>
                <w:rFonts w:hint="eastAsia"/>
              </w:rPr>
              <w:t>日期</w:t>
            </w:r>
          </w:p>
        </w:tc>
        <w:tc>
          <w:tcPr>
            <w:tcW w:w="574" w:type="pct"/>
          </w:tcPr>
          <w:p w:rsidR="00B2413C" w:rsidRDefault="00B2413C" w:rsidP="004A608B">
            <w:pPr>
              <w:pStyle w:val="ac"/>
            </w:pPr>
            <w:r>
              <w:rPr>
                <w:rFonts w:hint="eastAsia"/>
              </w:rPr>
              <w:t>当前</w:t>
            </w:r>
            <w:r>
              <w:t>阶段</w:t>
            </w:r>
          </w:p>
        </w:tc>
      </w:tr>
      <w:tr w:rsidR="00B2413C" w:rsidTr="00B2413C">
        <w:tc>
          <w:tcPr>
            <w:tcW w:w="28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1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757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47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6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1130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696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74" w:type="pct"/>
          </w:tcPr>
          <w:p w:rsidR="00B2413C" w:rsidRDefault="00B2413C" w:rsidP="004A608B">
            <w:pPr>
              <w:pStyle w:val="ad"/>
            </w:pPr>
          </w:p>
        </w:tc>
      </w:tr>
      <w:tr w:rsidR="00B2413C" w:rsidTr="00B2413C">
        <w:tc>
          <w:tcPr>
            <w:tcW w:w="28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1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757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47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6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1130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696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74" w:type="pct"/>
          </w:tcPr>
          <w:p w:rsidR="00B2413C" w:rsidRDefault="00B2413C" w:rsidP="004A608B">
            <w:pPr>
              <w:pStyle w:val="ad"/>
            </w:pPr>
          </w:p>
        </w:tc>
      </w:tr>
      <w:tr w:rsidR="00B2413C" w:rsidTr="00B2413C">
        <w:tc>
          <w:tcPr>
            <w:tcW w:w="28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1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757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47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6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1130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696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74" w:type="pct"/>
          </w:tcPr>
          <w:p w:rsidR="00B2413C" w:rsidRDefault="00B2413C" w:rsidP="004A608B">
            <w:pPr>
              <w:pStyle w:val="ad"/>
            </w:pPr>
          </w:p>
        </w:tc>
      </w:tr>
      <w:tr w:rsidR="00B2413C" w:rsidTr="00B2413C">
        <w:tc>
          <w:tcPr>
            <w:tcW w:w="28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1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757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47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6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1130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696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74" w:type="pct"/>
          </w:tcPr>
          <w:p w:rsidR="00B2413C" w:rsidRDefault="00B2413C" w:rsidP="004A608B">
            <w:pPr>
              <w:pStyle w:val="ad"/>
            </w:pPr>
          </w:p>
        </w:tc>
      </w:tr>
      <w:tr w:rsidR="00B2413C" w:rsidTr="00B2413C">
        <w:tc>
          <w:tcPr>
            <w:tcW w:w="28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1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757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473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68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1130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696" w:type="pct"/>
          </w:tcPr>
          <w:p w:rsidR="00B2413C" w:rsidRDefault="00B2413C" w:rsidP="004A608B">
            <w:pPr>
              <w:pStyle w:val="ad"/>
            </w:pPr>
          </w:p>
        </w:tc>
        <w:tc>
          <w:tcPr>
            <w:tcW w:w="574" w:type="pct"/>
          </w:tcPr>
          <w:p w:rsidR="00B2413C" w:rsidRDefault="00B2413C" w:rsidP="004A608B">
            <w:pPr>
              <w:pStyle w:val="ad"/>
            </w:pPr>
          </w:p>
        </w:tc>
      </w:tr>
    </w:tbl>
    <w:p w:rsidR="00A6031F" w:rsidRPr="00A6031F" w:rsidRDefault="00A6031F" w:rsidP="00B94509">
      <w:pPr>
        <w:pStyle w:val="001"/>
        <w:ind w:firstLineChars="0" w:firstLine="0"/>
      </w:pPr>
    </w:p>
    <w:sectPr w:rsidR="00A6031F" w:rsidRPr="00A6031F" w:rsidSect="00A6031F">
      <w:pgSz w:w="16838" w:h="11906" w:orient="landscape" w:code="9"/>
      <w:pgMar w:top="1803" w:right="1440" w:bottom="1803" w:left="144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3E39" w:rsidRDefault="00993E39" w:rsidP="006623DD">
      <w:r>
        <w:separator/>
      </w:r>
    </w:p>
  </w:endnote>
  <w:endnote w:type="continuationSeparator" w:id="0">
    <w:p w:rsidR="00993E39" w:rsidRDefault="00993E39" w:rsidP="006623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3E39" w:rsidRDefault="00993E39" w:rsidP="006623DD">
      <w:r>
        <w:separator/>
      </w:r>
    </w:p>
  </w:footnote>
  <w:footnote w:type="continuationSeparator" w:id="0">
    <w:p w:rsidR="00993E39" w:rsidRDefault="00993E39" w:rsidP="006623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F42943" w:rsidP="00F42943">
    <w:pPr>
      <w:pStyle w:val="a3"/>
      <w:ind w:firstLine="360"/>
      <w:jc w:val="right"/>
    </w:pPr>
    <w:r w:rsidRPr="00B2413C">
      <w:rPr>
        <w:rFonts w:ascii="Times New Roman" w:hAnsi="Times New Roman" w:cs="Times New Roman"/>
      </w:rPr>
      <w:t>Q/HX-G5B-B02-D01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0A14" w:rsidRDefault="007B0A14">
    <w:pPr>
      <w:pStyle w:val="a3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23DD" w:rsidRPr="00B2413C" w:rsidRDefault="00B2413C" w:rsidP="006623DD">
    <w:pPr>
      <w:jc w:val="right"/>
      <w:rPr>
        <w:rFonts w:ascii="Times New Roman" w:hAnsi="Times New Roman" w:cs="Times New Roman"/>
        <w:sz w:val="18"/>
        <w:szCs w:val="18"/>
      </w:rPr>
    </w:pPr>
    <w:r w:rsidRPr="00B2413C">
      <w:rPr>
        <w:rFonts w:ascii="Times New Roman" w:hAnsi="Times New Roman" w:cs="Times New Roman"/>
        <w:sz w:val="18"/>
        <w:szCs w:val="18"/>
      </w:rPr>
      <w:t>Q/HX-G5B-B02-D01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70D86"/>
    <w:multiLevelType w:val="multilevel"/>
    <w:tmpl w:val="0409001D"/>
    <w:lvl w:ilvl="0">
      <w:start w:val="1"/>
      <w:numFmt w:val="decimal"/>
      <w:lvlText w:val="%1"/>
      <w:lvlJc w:val="left"/>
      <w:pPr>
        <w:ind w:left="2105" w:hanging="425"/>
      </w:pPr>
    </w:lvl>
    <w:lvl w:ilvl="1">
      <w:start w:val="1"/>
      <w:numFmt w:val="decimal"/>
      <w:lvlText w:val="%1.%2"/>
      <w:lvlJc w:val="left"/>
      <w:pPr>
        <w:ind w:left="2672" w:hanging="567"/>
      </w:pPr>
    </w:lvl>
    <w:lvl w:ilvl="2">
      <w:start w:val="1"/>
      <w:numFmt w:val="decimal"/>
      <w:lvlText w:val="%1.%2.%3"/>
      <w:lvlJc w:val="left"/>
      <w:pPr>
        <w:ind w:left="3098" w:hanging="567"/>
      </w:pPr>
    </w:lvl>
    <w:lvl w:ilvl="3">
      <w:start w:val="1"/>
      <w:numFmt w:val="decimal"/>
      <w:lvlText w:val="%1.%2.%3.%4"/>
      <w:lvlJc w:val="left"/>
      <w:pPr>
        <w:ind w:left="3664" w:hanging="708"/>
      </w:pPr>
    </w:lvl>
    <w:lvl w:ilvl="4">
      <w:start w:val="1"/>
      <w:numFmt w:val="decimal"/>
      <w:lvlText w:val="%1.%2.%3.%4.%5"/>
      <w:lvlJc w:val="left"/>
      <w:pPr>
        <w:ind w:left="4231" w:hanging="850"/>
      </w:pPr>
    </w:lvl>
    <w:lvl w:ilvl="5">
      <w:start w:val="1"/>
      <w:numFmt w:val="decimal"/>
      <w:lvlText w:val="%1.%2.%3.%4.%5.%6"/>
      <w:lvlJc w:val="left"/>
      <w:pPr>
        <w:ind w:left="4940" w:hanging="1134"/>
      </w:pPr>
    </w:lvl>
    <w:lvl w:ilvl="6">
      <w:start w:val="1"/>
      <w:numFmt w:val="decimal"/>
      <w:lvlText w:val="%1.%2.%3.%4.%5.%6.%7"/>
      <w:lvlJc w:val="left"/>
      <w:pPr>
        <w:ind w:left="5507" w:hanging="1276"/>
      </w:pPr>
    </w:lvl>
    <w:lvl w:ilvl="7">
      <w:start w:val="1"/>
      <w:numFmt w:val="decimal"/>
      <w:lvlText w:val="%1.%2.%3.%4.%5.%6.%7.%8"/>
      <w:lvlJc w:val="left"/>
      <w:pPr>
        <w:ind w:left="6074" w:hanging="1418"/>
      </w:pPr>
    </w:lvl>
    <w:lvl w:ilvl="8">
      <w:start w:val="1"/>
      <w:numFmt w:val="decimal"/>
      <w:lvlText w:val="%1.%2.%3.%4.%5.%6.%7.%8.%9"/>
      <w:lvlJc w:val="left"/>
      <w:pPr>
        <w:ind w:left="6782" w:hanging="1700"/>
      </w:pPr>
    </w:lvl>
  </w:abstractNum>
  <w:abstractNum w:abstractNumId="1" w15:restartNumberingAfterBreak="0">
    <w:nsid w:val="10622C6A"/>
    <w:multiLevelType w:val="hybridMultilevel"/>
    <w:tmpl w:val="32D204D0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FE0312"/>
    <w:multiLevelType w:val="multilevel"/>
    <w:tmpl w:val="11FE031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1A196D0A"/>
    <w:multiLevelType w:val="multilevel"/>
    <w:tmpl w:val="F444A054"/>
    <w:lvl w:ilvl="0">
      <w:start w:val="1"/>
      <w:numFmt w:val="decimal"/>
      <w:pStyle w:val="00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000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C7A74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F2E3870"/>
    <w:multiLevelType w:val="multilevel"/>
    <w:tmpl w:val="D96217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0207AF8"/>
    <w:multiLevelType w:val="multilevel"/>
    <w:tmpl w:val="7BFE59A6"/>
    <w:lvl w:ilvl="0">
      <w:start w:val="1"/>
      <w:numFmt w:val="decimal"/>
      <w:lvlText w:val="%1"/>
      <w:lvlJc w:val="left"/>
      <w:pPr>
        <w:ind w:left="845" w:hanging="425"/>
      </w:pPr>
    </w:lvl>
    <w:lvl w:ilvl="1">
      <w:start w:val="1"/>
      <w:numFmt w:val="decimal"/>
      <w:lvlText w:val="%1.%2"/>
      <w:lvlJc w:val="left"/>
      <w:pPr>
        <w:ind w:left="141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838" w:hanging="567"/>
      </w:pPr>
    </w:lvl>
    <w:lvl w:ilvl="3">
      <w:start w:val="1"/>
      <w:numFmt w:val="decimal"/>
      <w:lvlText w:val="%1.%2.%3.%4"/>
      <w:lvlJc w:val="left"/>
      <w:pPr>
        <w:ind w:left="2404" w:hanging="708"/>
      </w:pPr>
    </w:lvl>
    <w:lvl w:ilvl="4">
      <w:start w:val="1"/>
      <w:numFmt w:val="decimal"/>
      <w:lvlText w:val="%1.%2.%3.%4.%5"/>
      <w:lvlJc w:val="left"/>
      <w:pPr>
        <w:ind w:left="2971" w:hanging="850"/>
      </w:pPr>
    </w:lvl>
    <w:lvl w:ilvl="5">
      <w:start w:val="1"/>
      <w:numFmt w:val="decimal"/>
      <w:lvlText w:val="%1.%2.%3.%4.%5.%6"/>
      <w:lvlJc w:val="left"/>
      <w:pPr>
        <w:ind w:left="3680" w:hanging="1134"/>
      </w:pPr>
    </w:lvl>
    <w:lvl w:ilvl="6">
      <w:start w:val="1"/>
      <w:numFmt w:val="decimal"/>
      <w:lvlText w:val="%1.%2.%3.%4.%5.%6.%7"/>
      <w:lvlJc w:val="left"/>
      <w:pPr>
        <w:ind w:left="4247" w:hanging="1276"/>
      </w:pPr>
    </w:lvl>
    <w:lvl w:ilvl="7">
      <w:start w:val="1"/>
      <w:numFmt w:val="decimal"/>
      <w:lvlText w:val="%1.%2.%3.%4.%5.%6.%7.%8"/>
      <w:lvlJc w:val="left"/>
      <w:pPr>
        <w:ind w:left="4814" w:hanging="1418"/>
      </w:pPr>
    </w:lvl>
    <w:lvl w:ilvl="8">
      <w:start w:val="1"/>
      <w:numFmt w:val="decimal"/>
      <w:lvlText w:val="%1.%2.%3.%4.%5.%6.%7.%8.%9"/>
      <w:lvlJc w:val="left"/>
      <w:pPr>
        <w:ind w:left="5522" w:hanging="1700"/>
      </w:pPr>
    </w:lvl>
  </w:abstractNum>
  <w:abstractNum w:abstractNumId="7" w15:restartNumberingAfterBreak="0">
    <w:nsid w:val="36FB7CE2"/>
    <w:multiLevelType w:val="multilevel"/>
    <w:tmpl w:val="36FB7CE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8" w15:restartNumberingAfterBreak="0">
    <w:nsid w:val="45244392"/>
    <w:multiLevelType w:val="multilevel"/>
    <w:tmpl w:val="452443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4C6334E0"/>
    <w:multiLevelType w:val="multilevel"/>
    <w:tmpl w:val="4C6334E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0" w15:restartNumberingAfterBreak="0">
    <w:nsid w:val="5F383C3A"/>
    <w:multiLevelType w:val="hybridMultilevel"/>
    <w:tmpl w:val="980A5A74"/>
    <w:lvl w:ilvl="0" w:tplc="8DD8FB1E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9"/>
  </w:num>
  <w:num w:numId="4">
    <w:abstractNumId w:val="7"/>
  </w:num>
  <w:num w:numId="5">
    <w:abstractNumId w:val="10"/>
  </w:num>
  <w:num w:numId="6">
    <w:abstractNumId w:val="5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5D1"/>
    <w:rsid w:val="0002417D"/>
    <w:rsid w:val="00071344"/>
    <w:rsid w:val="00087F77"/>
    <w:rsid w:val="00091DC0"/>
    <w:rsid w:val="00093A82"/>
    <w:rsid w:val="000B0CBB"/>
    <w:rsid w:val="000C0D51"/>
    <w:rsid w:val="000C2B74"/>
    <w:rsid w:val="001025BA"/>
    <w:rsid w:val="002515B7"/>
    <w:rsid w:val="00295C18"/>
    <w:rsid w:val="002C28CA"/>
    <w:rsid w:val="003A0470"/>
    <w:rsid w:val="003C7A85"/>
    <w:rsid w:val="003F1050"/>
    <w:rsid w:val="003F1764"/>
    <w:rsid w:val="00415DAE"/>
    <w:rsid w:val="00437AF9"/>
    <w:rsid w:val="004975AB"/>
    <w:rsid w:val="005306F2"/>
    <w:rsid w:val="00562059"/>
    <w:rsid w:val="00583064"/>
    <w:rsid w:val="00603037"/>
    <w:rsid w:val="006623DD"/>
    <w:rsid w:val="00781603"/>
    <w:rsid w:val="007845D1"/>
    <w:rsid w:val="007B0A14"/>
    <w:rsid w:val="007B5806"/>
    <w:rsid w:val="008E06C8"/>
    <w:rsid w:val="008F1342"/>
    <w:rsid w:val="00916257"/>
    <w:rsid w:val="00984C62"/>
    <w:rsid w:val="00993E39"/>
    <w:rsid w:val="009E7CE2"/>
    <w:rsid w:val="00A10313"/>
    <w:rsid w:val="00A6031F"/>
    <w:rsid w:val="00A769EE"/>
    <w:rsid w:val="00A803D3"/>
    <w:rsid w:val="00AE7096"/>
    <w:rsid w:val="00B2413C"/>
    <w:rsid w:val="00B82265"/>
    <w:rsid w:val="00B94509"/>
    <w:rsid w:val="00BB7DA9"/>
    <w:rsid w:val="00BE262B"/>
    <w:rsid w:val="00C16670"/>
    <w:rsid w:val="00C403E1"/>
    <w:rsid w:val="00D56D34"/>
    <w:rsid w:val="00D6035A"/>
    <w:rsid w:val="00DD4B40"/>
    <w:rsid w:val="00DE2C88"/>
    <w:rsid w:val="00E34D05"/>
    <w:rsid w:val="00F20410"/>
    <w:rsid w:val="00F42943"/>
    <w:rsid w:val="00F4330E"/>
    <w:rsid w:val="00F46931"/>
    <w:rsid w:val="00F47775"/>
    <w:rsid w:val="00F67912"/>
    <w:rsid w:val="00FA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E4C44"/>
  <w15:chartTrackingRefBased/>
  <w15:docId w15:val="{67B7E9A0-9B34-48E0-A71C-6A0357E6D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E06C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link w:val="10"/>
    <w:uiPriority w:val="9"/>
    <w:qFormat/>
    <w:rsid w:val="008E06C8"/>
    <w:pPr>
      <w:keepNext/>
      <w:keepLines/>
      <w:numPr>
        <w:numId w:val="6"/>
      </w:numPr>
      <w:spacing w:line="578" w:lineRule="auto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styleId="2">
    <w:name w:val="heading 2"/>
    <w:basedOn w:val="1"/>
    <w:next w:val="a"/>
    <w:link w:val="20"/>
    <w:uiPriority w:val="9"/>
    <w:unhideWhenUsed/>
    <w:qFormat/>
    <w:rsid w:val="00093A82"/>
    <w:pPr>
      <w:numPr>
        <w:ilvl w:val="1"/>
      </w:numPr>
      <w:spacing w:line="360" w:lineRule="auto"/>
      <w:ind w:left="567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06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06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06C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06C8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3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623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623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623D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9E7CE2"/>
    <w:pPr>
      <w:spacing w:beforeLines="50" w:before="156" w:afterLines="50" w:after="156"/>
      <w:jc w:val="center"/>
      <w:outlineLvl w:val="0"/>
    </w:pPr>
    <w:rPr>
      <w:rFonts w:ascii="黑体" w:eastAsia="黑体" w:hAnsi="黑体" w:cstheme="majorBidi"/>
      <w:b/>
      <w:bCs/>
      <w:sz w:val="28"/>
      <w:szCs w:val="28"/>
    </w:rPr>
  </w:style>
  <w:style w:type="character" w:customStyle="1" w:styleId="a8">
    <w:name w:val="标题 字符"/>
    <w:basedOn w:val="a0"/>
    <w:link w:val="a7"/>
    <w:uiPriority w:val="10"/>
    <w:rsid w:val="009E7CE2"/>
    <w:rPr>
      <w:rFonts w:ascii="黑体" w:eastAsia="黑体" w:hAnsi="黑体" w:cstheme="majorBidi"/>
      <w:b/>
      <w:bCs/>
      <w:sz w:val="28"/>
      <w:szCs w:val="28"/>
    </w:rPr>
  </w:style>
  <w:style w:type="table" w:styleId="a9">
    <w:name w:val="Table Grid"/>
    <w:basedOn w:val="a1"/>
    <w:uiPriority w:val="59"/>
    <w:rsid w:val="00662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basedOn w:val="a"/>
    <w:rsid w:val="00916257"/>
    <w:pPr>
      <w:ind w:firstLineChars="200" w:firstLine="200"/>
    </w:pPr>
    <w:rPr>
      <w:rFonts w:ascii="Times New Roman" w:eastAsia="宋体" w:hAnsi="Times New Roman" w:cs="Times New Roman"/>
      <w:szCs w:val="20"/>
    </w:rPr>
  </w:style>
  <w:style w:type="paragraph" w:styleId="ab">
    <w:name w:val="List Paragraph"/>
    <w:basedOn w:val="a"/>
    <w:uiPriority w:val="34"/>
    <w:qFormat/>
    <w:rsid w:val="00415DA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E06C8"/>
    <w:rPr>
      <w:rFonts w:ascii="Times New Roman" w:eastAsia="黑体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093A82"/>
    <w:rPr>
      <w:rFonts w:ascii="Times New Roman" w:eastAsia="黑体" w:hAnsi="Times New Roman"/>
      <w:b/>
      <w:bCs/>
      <w:kern w:val="44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8E06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06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06C8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8E06C8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8E06C8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8E06C8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8E06C8"/>
    <w:rPr>
      <w:rFonts w:asciiTheme="majorHAnsi" w:eastAsiaTheme="majorEastAsia" w:hAnsiTheme="majorHAnsi" w:cstheme="majorBidi"/>
      <w:szCs w:val="21"/>
    </w:rPr>
  </w:style>
  <w:style w:type="paragraph" w:customStyle="1" w:styleId="000">
    <w:name w:val="00二级标题"/>
    <w:basedOn w:val="a"/>
    <w:qFormat/>
    <w:rsid w:val="004975AB"/>
    <w:pPr>
      <w:keepNext/>
      <w:keepLines/>
      <w:numPr>
        <w:ilvl w:val="1"/>
        <w:numId w:val="12"/>
      </w:numPr>
      <w:ind w:left="567"/>
      <w:outlineLvl w:val="0"/>
    </w:pPr>
    <w:rPr>
      <w:rFonts w:ascii="Times New Roman" w:eastAsia="黑体" w:hAnsi="Times New Roman"/>
      <w:b/>
      <w:bCs/>
      <w:kern w:val="44"/>
      <w:sz w:val="28"/>
      <w:szCs w:val="44"/>
    </w:rPr>
  </w:style>
  <w:style w:type="paragraph" w:customStyle="1" w:styleId="00">
    <w:name w:val="00一级标题"/>
    <w:basedOn w:val="1"/>
    <w:qFormat/>
    <w:rsid w:val="004975AB"/>
    <w:pPr>
      <w:numPr>
        <w:numId w:val="12"/>
      </w:numPr>
      <w:spacing w:line="360" w:lineRule="auto"/>
    </w:pPr>
  </w:style>
  <w:style w:type="paragraph" w:customStyle="1" w:styleId="001">
    <w:name w:val="00正文"/>
    <w:basedOn w:val="a"/>
    <w:qFormat/>
    <w:rsid w:val="00583064"/>
    <w:pPr>
      <w:ind w:firstLineChars="200" w:firstLine="480"/>
    </w:pPr>
  </w:style>
  <w:style w:type="paragraph" w:customStyle="1" w:styleId="ac">
    <w:name w:val="表格首行"/>
    <w:basedOn w:val="a"/>
    <w:qFormat/>
    <w:rsid w:val="0002417D"/>
    <w:pPr>
      <w:jc w:val="center"/>
    </w:pPr>
    <w:rPr>
      <w:rFonts w:ascii="Times New Roman" w:hAnsi="Times New Roman"/>
      <w:b/>
      <w:szCs w:val="21"/>
    </w:rPr>
  </w:style>
  <w:style w:type="paragraph" w:customStyle="1" w:styleId="ad">
    <w:name w:val="表格正文"/>
    <w:basedOn w:val="a"/>
    <w:qFormat/>
    <w:rsid w:val="0002417D"/>
    <w:pPr>
      <w:jc w:val="center"/>
    </w:pPr>
    <w:rPr>
      <w:rFonts w:ascii="Times New Roman" w:hAnsi="Times New Roman"/>
      <w:szCs w:val="21"/>
    </w:rPr>
  </w:style>
  <w:style w:type="paragraph" w:customStyle="1" w:styleId="002">
    <w:name w:val="00 附件"/>
    <w:basedOn w:val="a"/>
    <w:next w:val="001"/>
    <w:qFormat/>
    <w:rsid w:val="00A6031F"/>
    <w:pPr>
      <w:outlineLvl w:val="0"/>
    </w:pPr>
  </w:style>
  <w:style w:type="paragraph" w:customStyle="1" w:styleId="-">
    <w:name w:val="附件-正文标题"/>
    <w:basedOn w:val="a"/>
    <w:next w:val="a"/>
    <w:qFormat/>
    <w:rsid w:val="00A6031F"/>
    <w:pPr>
      <w:spacing w:beforeLines="100" w:before="326" w:afterLines="100" w:after="326"/>
      <w:ind w:firstLineChars="200" w:firstLine="640"/>
      <w:jc w:val="center"/>
    </w:pPr>
    <w:rPr>
      <w:rFonts w:ascii="黑体" w:eastAsia="黑体" w:hAnsi="黑体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40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4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</dc:creator>
  <cp:keywords/>
  <dc:description/>
  <cp:lastModifiedBy>王虹入</cp:lastModifiedBy>
  <cp:revision>29</cp:revision>
  <dcterms:created xsi:type="dcterms:W3CDTF">2022-11-28T01:25:00Z</dcterms:created>
  <dcterms:modified xsi:type="dcterms:W3CDTF">2023-11-13T08:24:00Z</dcterms:modified>
</cp:coreProperties>
</file>