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A5C38"/>
          <w:sz w:val="56"/>
          <w:szCs w:val="56"/>
        </w:rPr>
        <w:t xml:space="preserve">RetailMax Group Ltd.</w:t>
      </w:r>
    </w:p>
    <w:p>
      <w:pPr>
        <w:spacing w:after="100"/>
        <w:jc w:val="center"/>
      </w:pPr>
      <w:r>
        <w:rPr>
          <w:rFonts w:ascii="Calibri" w:cs="Calibri" w:eastAsia="Calibri" w:hAnsi="Calibri"/>
          <w:color w:val="555555"/>
          <w:sz w:val="32"/>
          <w:szCs w:val="32"/>
        </w:rPr>
        <w:t xml:space="preserve">Revenue Intelligence &amp; Customer Profitability Optimisation</w:t>
      </w:r>
    </w:p>
    <w:p>
      <w:pPr>
        <w:spacing w:after="600"/>
        <w:jc w:val="center"/>
      </w:pPr>
      <w:r>
        <w:rPr>
          <w:rFonts w:ascii="Calibri" w:cs="Calibri" w:eastAsia="Calibri" w:hAnsi="Calibri"/>
          <w:color w:val="555555"/>
          <w:sz w:val="24"/>
          <w:szCs w:val="24"/>
        </w:rPr>
        <w:t xml:space="preserve">Business Intelligence Report  |  2023–2025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£37.61M</w:t>
            </w:r>
          </w:p>
          <w:p>
            <w:pPr>
              <w:spacing w:after="60"/>
              <w:jc w:val="center"/>
            </w:pPr>
            <w:r>
              <w:rPr>
                <w:rFonts w:ascii="Calibri" w:cs="Calibri" w:eastAsia="Calibri" w:hAnsi="Calibri"/>
                <w:color w:val="555555"/>
                <w:sz w:val="16"/>
                <w:szCs w:val="16"/>
              </w:rPr>
              <w:t xml:space="preserve">Total Revenue</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£9.38M</w:t>
            </w:r>
          </w:p>
          <w:p>
            <w:pPr>
              <w:spacing w:after="60"/>
              <w:jc w:val="center"/>
            </w:pPr>
            <w:r>
              <w:rPr>
                <w:rFonts w:ascii="Calibri" w:cs="Calibri" w:eastAsia="Calibri" w:hAnsi="Calibri"/>
                <w:color w:val="555555"/>
                <w:sz w:val="16"/>
                <w:szCs w:val="16"/>
              </w:rPr>
              <w:t xml:space="preserve">Gross Profit</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5,000</w:t>
            </w:r>
          </w:p>
          <w:p>
            <w:pPr>
              <w:spacing w:after="60"/>
              <w:jc w:val="center"/>
            </w:pPr>
            <w:r>
              <w:rPr>
                <w:rFonts w:ascii="Calibri" w:cs="Calibri" w:eastAsia="Calibri" w:hAnsi="Calibri"/>
                <w:color w:val="555555"/>
                <w:sz w:val="16"/>
                <w:szCs w:val="16"/>
              </w:rPr>
              <w:t xml:space="preserve">Total Customers</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84.18%</w:t>
            </w:r>
          </w:p>
          <w:p>
            <w:pPr>
              <w:spacing w:after="60"/>
              <w:jc w:val="center"/>
            </w:pPr>
            <w:r>
              <w:rPr>
                <w:rFonts w:ascii="Calibri" w:cs="Calibri" w:eastAsia="Calibri" w:hAnsi="Calibri"/>
                <w:color w:val="555555"/>
                <w:sz w:val="16"/>
                <w:szCs w:val="16"/>
              </w:rPr>
              <w:t xml:space="preserve">Retention Rate</w:t>
            </w:r>
          </w:p>
        </w:tc>
      </w:tr>
    </w:tbl>
    <w:p>
      <w:pPr>
        <w:spacing w:after="60"/>
      </w:pPr>
      <w:r>
        <w:t xml:space="preserve"/>
      </w:r>
    </w:p>
    <w:p>
      <w:pPr>
        <w:spacing w:after="60"/>
      </w:pPr>
      <w:r>
        <w:t xml:space="preserve"/>
      </w:r>
    </w:p>
    <w:p>
      <w:pPr>
        <w:spacing w:after="80" w:before="400"/>
        <w:jc w:val="center"/>
      </w:pPr>
      <w:r>
        <w:rPr>
          <w:rFonts w:ascii="Calibri" w:cs="Calibri" w:eastAsia="Calibri" w:hAnsi="Calibri"/>
          <w:i/>
          <w:iCs/>
          <w:color w:val="555555"/>
          <w:sz w:val="17"/>
          <w:szCs w:val="17"/>
        </w:rPr>
        <w:t xml:space="preserve">Prepared by: David  |  Amdari Work Experience Programme  |  June–July 2026</w:t>
      </w:r>
    </w:p>
    <w:p>
      <w:pPr>
        <w:spacing w:after="80"/>
        <w:jc w:val="center"/>
      </w:pPr>
      <w:r>
        <w:rPr>
          <w:rFonts w:ascii="Calibri" w:cs="Calibri" w:eastAsia="Calibri" w:hAnsi="Calibri"/>
          <w:i/>
          <w:iCs/>
          <w:color w:val="888888"/>
          <w:sz w:val="16"/>
          <w:szCs w:val="16"/>
        </w:rPr>
        <w:t xml:space="preserve">Note: This report is based on a synthetically generated dataset used for analytical training purposes. All figures are illustrative.</w:t>
      </w:r>
    </w:p>
    <w:p>
      <w:r>
        <w:br w:type="page"/>
      </w:r>
    </w:p>
    <w:p>
      <w:pPr>
        <w:pBdr>
          <w:bottom w:val="single" w:color="1A5C38" w:sz="8"/>
        </w:pBdr>
        <w:spacing w:after="120" w:before="360"/>
      </w:pPr>
      <w:r>
        <w:rPr>
          <w:rFonts w:ascii="Calibri" w:cs="Calibri" w:eastAsia="Calibri" w:hAnsi="Calibri"/>
          <w:b/>
          <w:bCs/>
          <w:color w:val="1A5C38"/>
          <w:sz w:val="26"/>
          <w:szCs w:val="26"/>
        </w:rPr>
        <w:t xml:space="preserve">Table of Contents</w:t>
      </w:r>
    </w:p>
    <w:p>
      <w:pPr>
        <w:spacing w:after="80"/>
        <w:ind w:left="200"/>
      </w:pPr>
      <w:r>
        <w:rPr>
          <w:rFonts w:ascii="Calibri" w:cs="Calibri" w:eastAsia="Calibri" w:hAnsi="Calibri"/>
          <w:color w:val="1A5C38"/>
          <w:sz w:val="20"/>
          <w:szCs w:val="20"/>
        </w:rPr>
        <w:t xml:space="preserve">1. Executive Summary</w:t>
      </w:r>
    </w:p>
    <w:p>
      <w:pPr>
        <w:spacing w:after="80"/>
        <w:ind w:left="200"/>
      </w:pPr>
      <w:r>
        <w:rPr>
          <w:rFonts w:ascii="Calibri" w:cs="Calibri" w:eastAsia="Calibri" w:hAnsi="Calibri"/>
          <w:color w:val="1A5C38"/>
          <w:sz w:val="20"/>
          <w:szCs w:val="20"/>
        </w:rPr>
        <w:t xml:space="preserve">2. Project Overview</w:t>
      </w:r>
    </w:p>
    <w:p>
      <w:pPr>
        <w:spacing w:after="80"/>
        <w:ind w:left="200"/>
      </w:pPr>
      <w:r>
        <w:rPr>
          <w:rFonts w:ascii="Calibri" w:cs="Calibri" w:eastAsia="Calibri" w:hAnsi="Calibri"/>
          <w:color w:val="1A5C38"/>
          <w:sz w:val="20"/>
          <w:szCs w:val="20"/>
        </w:rPr>
        <w:t xml:space="preserve">3. Revenue Performance Analysis</w:t>
      </w:r>
    </w:p>
    <w:p>
      <w:pPr>
        <w:spacing w:after="80"/>
        <w:ind w:left="200"/>
      </w:pPr>
      <w:r>
        <w:rPr>
          <w:rFonts w:ascii="Calibri" w:cs="Calibri" w:eastAsia="Calibri" w:hAnsi="Calibri"/>
          <w:color w:val="1A5C38"/>
          <w:sz w:val="20"/>
          <w:szCs w:val="20"/>
        </w:rPr>
        <w:t xml:space="preserve">4. Pricing &amp; Discount Effectiveness</w:t>
      </w:r>
    </w:p>
    <w:p>
      <w:pPr>
        <w:spacing w:after="80"/>
        <w:ind w:left="200"/>
      </w:pPr>
      <w:r>
        <w:rPr>
          <w:rFonts w:ascii="Calibri" w:cs="Calibri" w:eastAsia="Calibri" w:hAnsi="Calibri"/>
          <w:color w:val="1A5C38"/>
          <w:sz w:val="20"/>
          <w:szCs w:val="20"/>
        </w:rPr>
        <w:t xml:space="preserve">5. Customer Intelligence</w:t>
      </w:r>
    </w:p>
    <w:p>
      <w:pPr>
        <w:spacing w:after="80"/>
        <w:ind w:left="200"/>
      </w:pPr>
      <w:r>
        <w:rPr>
          <w:rFonts w:ascii="Calibri" w:cs="Calibri" w:eastAsia="Calibri" w:hAnsi="Calibri"/>
          <w:color w:val="1A5C38"/>
          <w:sz w:val="20"/>
          <w:szCs w:val="20"/>
        </w:rPr>
        <w:t xml:space="preserve">6. Sales Channel Performance</w:t>
      </w:r>
    </w:p>
    <w:p>
      <w:pPr>
        <w:spacing w:after="80"/>
        <w:ind w:left="200"/>
      </w:pPr>
      <w:r>
        <w:rPr>
          <w:rFonts w:ascii="Calibri" w:cs="Calibri" w:eastAsia="Calibri" w:hAnsi="Calibri"/>
          <w:color w:val="1A5C38"/>
          <w:sz w:val="20"/>
          <w:szCs w:val="20"/>
        </w:rPr>
        <w:t xml:space="preserve">7. Key Insights</w:t>
      </w:r>
    </w:p>
    <w:p>
      <w:pPr>
        <w:spacing w:after="80"/>
        <w:ind w:left="200"/>
      </w:pPr>
      <w:r>
        <w:rPr>
          <w:rFonts w:ascii="Calibri" w:cs="Calibri" w:eastAsia="Calibri" w:hAnsi="Calibri"/>
          <w:color w:val="1A5C38"/>
          <w:sz w:val="20"/>
          <w:szCs w:val="20"/>
        </w:rPr>
        <w:t xml:space="preserve">8. Strategic Recommendations</w:t>
      </w:r>
    </w:p>
    <w:p>
      <w:pPr>
        <w:spacing w:after="80"/>
        <w:ind w:left="200"/>
      </w:pPr>
      <w:r>
        <w:rPr>
          <w:rFonts w:ascii="Calibri" w:cs="Calibri" w:eastAsia="Calibri" w:hAnsi="Calibri"/>
          <w:color w:val="1A5C38"/>
          <w:sz w:val="20"/>
          <w:szCs w:val="20"/>
        </w:rPr>
        <w:t xml:space="preserve">9. Data Quality &amp; Scope Limitations</w:t>
      </w:r>
    </w:p>
    <w:p>
      <w:r>
        <w:br w:type="page"/>
      </w:r>
    </w:p>
    <w:p>
      <w:pPr>
        <w:shd w:fill="1A5C38" w:val="clear"/>
        <w:spacing w:after="200" w:before="400"/>
        <w:ind w:left="200"/>
      </w:pPr>
      <w:r>
        <w:rPr>
          <w:rFonts w:ascii="Calibri" w:cs="Calibri" w:eastAsia="Calibri" w:hAnsi="Calibri"/>
          <w:b/>
          <w:bCs/>
          <w:color w:val="FFFFFF"/>
          <w:sz w:val="36"/>
          <w:szCs w:val="36"/>
        </w:rPr>
        <w:t xml:space="preserve">1. Executive Summary</w:t>
      </w:r>
    </w:p>
    <w:p>
      <w:pPr>
        <w:spacing w:after="120"/>
        <w:jc w:val="both"/>
      </w:pPr>
      <w:r>
        <w:rPr>
          <w:rFonts w:ascii="Calibri" w:cs="Calibri" w:eastAsia="Calibri" w:hAnsi="Calibri"/>
          <w:color w:val="1A1A1A"/>
          <w:sz w:val="20"/>
          <w:szCs w:val="20"/>
        </w:rPr>
        <w:t xml:space="preserve">This report presents the findings of a structured data analytics project conducted for RetailMax Group Ltd., a UK-based retail and consumer goods company. Using a dataset of 50,000 sales transactions spanning January 2023 to December 2025, this analysis evaluates revenue performance, pricing effectiveness, customer behaviour, and sales channel profitability.</w:t>
      </w:r>
    </w:p>
    <w:p>
      <w:pPr>
        <w:spacing w:after="120"/>
        <w:jc w:val="both"/>
      </w:pPr>
      <w:r>
        <w:rPr>
          <w:rFonts w:ascii="Calibri" w:cs="Calibri" w:eastAsia="Calibri" w:hAnsi="Calibri"/>
          <w:color w:val="1A1A1A"/>
          <w:sz w:val="20"/>
          <w:szCs w:val="20"/>
        </w:rPr>
        <w:t xml:space="preserve">The analysis reveals a business with strong customer retention and diversified revenue across product categories and sales channels. However, a critical structural challenge has been identified: an aggressive discounting strategy is suppressing profitability to a degree that nearly offsets the company's entire gross profit margin.</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£37.61M</w:t>
            </w:r>
          </w:p>
          <w:p>
            <w:pPr>
              <w:spacing w:after="60"/>
              <w:jc w:val="center"/>
            </w:pPr>
            <w:r>
              <w:rPr>
                <w:rFonts w:ascii="Calibri" w:cs="Calibri" w:eastAsia="Calibri" w:hAnsi="Calibri"/>
                <w:color w:val="555555"/>
                <w:sz w:val="16"/>
                <w:szCs w:val="16"/>
              </w:rPr>
              <w:t xml:space="preserve">Total Revenue</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£28.23M</w:t>
            </w:r>
          </w:p>
          <w:p>
            <w:pPr>
              <w:spacing w:after="60"/>
              <w:jc w:val="center"/>
            </w:pPr>
            <w:r>
              <w:rPr>
                <w:rFonts w:ascii="Calibri" w:cs="Calibri" w:eastAsia="Calibri" w:hAnsi="Calibri"/>
                <w:color w:val="555555"/>
                <w:sz w:val="16"/>
                <w:szCs w:val="16"/>
              </w:rPr>
              <w:t xml:space="preserve">Total Cost</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£9.38M</w:t>
            </w:r>
          </w:p>
          <w:p>
            <w:pPr>
              <w:spacing w:after="60"/>
              <w:jc w:val="center"/>
            </w:pPr>
            <w:r>
              <w:rPr>
                <w:rFonts w:ascii="Calibri" w:cs="Calibri" w:eastAsia="Calibri" w:hAnsi="Calibri"/>
                <w:color w:val="555555"/>
                <w:sz w:val="16"/>
                <w:szCs w:val="16"/>
              </w:rPr>
              <w:t xml:space="preserve">Gross Profit</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24.95%</w:t>
            </w:r>
          </w:p>
          <w:p>
            <w:pPr>
              <w:spacing w:after="60"/>
              <w:jc w:val="center"/>
            </w:pPr>
            <w:r>
              <w:rPr>
                <w:rFonts w:ascii="Calibri" w:cs="Calibri" w:eastAsia="Calibri" w:hAnsi="Calibri"/>
                <w:color w:val="555555"/>
                <w:sz w:val="16"/>
                <w:szCs w:val="16"/>
              </w:rPr>
              <w:t xml:space="preserve">Gross Profit Margin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£9.43M</w:t>
            </w:r>
          </w:p>
          <w:p>
            <w:pPr>
              <w:spacing w:after="60"/>
              <w:jc w:val="center"/>
            </w:pPr>
            <w:r>
              <w:rPr>
                <w:rFonts w:ascii="Calibri" w:cs="Calibri" w:eastAsia="Calibri" w:hAnsi="Calibri"/>
                <w:color w:val="555555"/>
                <w:sz w:val="16"/>
                <w:szCs w:val="16"/>
              </w:rPr>
              <w:t xml:space="preserve">Revenue Leakage</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98.71%</w:t>
            </w:r>
          </w:p>
          <w:p>
            <w:pPr>
              <w:spacing w:after="60"/>
              <w:jc w:val="center"/>
            </w:pPr>
            <w:r>
              <w:rPr>
                <w:rFonts w:ascii="Calibri" w:cs="Calibri" w:eastAsia="Calibri" w:hAnsi="Calibri"/>
                <w:color w:val="555555"/>
                <w:sz w:val="16"/>
                <w:szCs w:val="16"/>
              </w:rPr>
              <w:t xml:space="preserve">Discount Utilisation</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84.18%</w:t>
            </w:r>
          </w:p>
          <w:p>
            <w:pPr>
              <w:spacing w:after="60"/>
              <w:jc w:val="center"/>
            </w:pPr>
            <w:r>
              <w:rPr>
                <w:rFonts w:ascii="Calibri" w:cs="Calibri" w:eastAsia="Calibri" w:hAnsi="Calibri"/>
                <w:color w:val="555555"/>
                <w:sz w:val="16"/>
                <w:szCs w:val="16"/>
              </w:rPr>
              <w:t xml:space="preserve">Customer Retention</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£2.23K</w:t>
            </w:r>
          </w:p>
          <w:p>
            <w:pPr>
              <w:spacing w:after="60"/>
              <w:jc w:val="center"/>
            </w:pPr>
            <w:r>
              <w:rPr>
                <w:rFonts w:ascii="Calibri" w:cs="Calibri" w:eastAsia="Calibri" w:hAnsi="Calibri"/>
                <w:color w:val="555555"/>
                <w:sz w:val="16"/>
                <w:szCs w:val="16"/>
              </w:rPr>
              <w:t xml:space="preserve">Avg. Transaction Value</w:t>
            </w:r>
          </w:p>
        </w:tc>
      </w:tr>
    </w:tbl>
    <w:p>
      <w:pPr>
        <w:spacing w:after="60"/>
      </w:pPr>
      <w:r>
        <w:t xml:space="preserve"/>
      </w:r>
    </w:p>
    <w:p>
      <w:pPr>
        <w:spacing w:after="120"/>
        <w:jc w:val="both"/>
      </w:pPr>
      <w:r>
        <w:rPr>
          <w:rFonts w:ascii="Calibri" w:cs="Calibri" w:eastAsia="Calibri" w:hAnsi="Calibri"/>
          <w:color w:val="1A1A1A"/>
          <w:sz w:val="20"/>
          <w:szCs w:val="20"/>
        </w:rPr>
        <w:t xml:space="preserve">The five most significant findings are summarised below and expanded throughout the report:</w:t>
      </w:r>
    </w:p>
    <w:p>
      <w:pPr>
        <w:spacing w:after="80"/>
        <w:ind w:left="360"/>
      </w:pPr>
      <w:r>
        <w:rPr>
          <w:rFonts w:ascii="Calibri" w:cs="Calibri" w:eastAsia="Calibri" w:hAnsi="Calibri"/>
          <w:color w:val="1A1A1A"/>
          <w:sz w:val="20"/>
          <w:szCs w:val="20"/>
        </w:rPr>
        <w:t xml:space="preserve">•  Revenue leakage of £9.43M from discounting nearly equals total gross profit of £9.38M — a critical profitability risk.</w:t>
      </w:r>
    </w:p>
    <w:p>
      <w:pPr>
        <w:spacing w:after="80"/>
        <w:ind w:left="360"/>
      </w:pPr>
      <w:r>
        <w:rPr>
          <w:rFonts w:ascii="Calibri" w:cs="Calibri" w:eastAsia="Calibri" w:hAnsi="Calibri"/>
          <w:color w:val="1A1A1A"/>
          <w:sz w:val="20"/>
          <w:szCs w:val="20"/>
        </w:rPr>
        <w:t xml:space="preserve">•  98.71% of completed transactions include a discount, with only 1.29% of sales occurring at full price.</w:t>
      </w:r>
    </w:p>
    <w:p>
      <w:pPr>
        <w:spacing w:after="80"/>
        <w:ind w:left="360"/>
      </w:pPr>
      <w:r>
        <w:rPr>
          <w:rFonts w:ascii="Calibri" w:cs="Calibri" w:eastAsia="Calibri" w:hAnsi="Calibri"/>
          <w:color w:val="1A1A1A"/>
          <w:sz w:val="20"/>
          <w:szCs w:val="20"/>
        </w:rPr>
        <w:t xml:space="preserve">•  The Online channel accounts for 50.11% of total revenue, processing nearly double the transactions of Store or Marketplace individually.</w:t>
      </w:r>
    </w:p>
    <w:p>
      <w:pPr>
        <w:spacing w:after="80"/>
        <w:ind w:left="360"/>
      </w:pPr>
      <w:r>
        <w:rPr>
          <w:rFonts w:ascii="Calibri" w:cs="Calibri" w:eastAsia="Calibri" w:hAnsi="Calibri"/>
          <w:color w:val="1A1A1A"/>
          <w:sz w:val="20"/>
          <w:szCs w:val="20"/>
        </w:rPr>
        <w:t xml:space="preserve">•  Customer retention stands at 84.18%, indicating a strong loyal customer base with capacity for increased purchase frequency.</w:t>
      </w:r>
    </w:p>
    <w:p>
      <w:pPr>
        <w:spacing w:after="80"/>
        <w:ind w:left="360"/>
      </w:pPr>
      <w:r>
        <w:rPr>
          <w:rFonts w:ascii="Calibri" w:cs="Calibri" w:eastAsia="Calibri" w:hAnsi="Calibri"/>
          <w:color w:val="1A1A1A"/>
          <w:sz w:val="20"/>
          <w:szCs w:val="20"/>
        </w:rPr>
        <w:t xml:space="preserve">•  Revenue growth is modest at 0.19% (2024) and 1.54% (2025), likely suppressed by the prevailing discount strategy.</w:t>
      </w:r>
    </w:p>
    <w:p>
      <w:r>
        <w:br w:type="page"/>
      </w:r>
    </w:p>
    <w:p>
      <w:pPr>
        <w:shd w:fill="1A5C38" w:val="clear"/>
        <w:spacing w:after="200" w:before="400"/>
        <w:ind w:left="200"/>
      </w:pPr>
      <w:r>
        <w:rPr>
          <w:rFonts w:ascii="Calibri" w:cs="Calibri" w:eastAsia="Calibri" w:hAnsi="Calibri"/>
          <w:b/>
          <w:bCs/>
          <w:color w:val="FFFFFF"/>
          <w:sz w:val="36"/>
          <w:szCs w:val="36"/>
        </w:rPr>
        <w:t xml:space="preserve">2. Project Overview</w:t>
      </w:r>
    </w:p>
    <w:p>
      <w:pPr>
        <w:pBdr>
          <w:bottom w:val="single" w:color="1A5C38" w:sz="8"/>
        </w:pBdr>
        <w:spacing w:after="120" w:before="360"/>
      </w:pPr>
      <w:r>
        <w:rPr>
          <w:rFonts w:ascii="Calibri" w:cs="Calibri" w:eastAsia="Calibri" w:hAnsi="Calibri"/>
          <w:b/>
          <w:bCs/>
          <w:color w:val="1A5C38"/>
          <w:sz w:val="26"/>
          <w:szCs w:val="26"/>
        </w:rPr>
        <w:t xml:space="preserve">2.1 Business Context</w:t>
      </w:r>
    </w:p>
    <w:p>
      <w:pPr>
        <w:spacing w:after="120"/>
        <w:jc w:val="both"/>
      </w:pPr>
      <w:r>
        <w:rPr>
          <w:rFonts w:ascii="Calibri" w:cs="Calibri" w:eastAsia="Calibri" w:hAnsi="Calibri"/>
          <w:color w:val="1A1A1A"/>
          <w:sz w:val="20"/>
          <w:szCs w:val="20"/>
        </w:rPr>
        <w:t xml:space="preserve">RetailMax Group Ltd. is a mid-market UK retail and consumer goods organisation established in 2005. Operating 165 physical stores alongside e-commerce and marketplace channels, RetailMax serves over 1.8 million active customers across eight major product categories.</w:t>
      </w:r>
    </w:p>
    <w:p>
      <w:pPr>
        <w:spacing w:after="120"/>
        <w:jc w:val="both"/>
      </w:pPr>
      <w:r>
        <w:rPr>
          <w:rFonts w:ascii="Calibri" w:cs="Calibri" w:eastAsia="Calibri" w:hAnsi="Calibri"/>
          <w:color w:val="1A1A1A"/>
          <w:sz w:val="20"/>
          <w:szCs w:val="20"/>
        </w:rPr>
        <w:t xml:space="preserve">Despite strong sales performance, the organisation lacked a centralised analytical framework capable of providing unified visibility into customer profitability, channel performance, pricing effectiveness, and revenue trends. Reporting was fragmented across multiple systems, limiting the quality and speed of executive decision-making.</w:t>
      </w:r>
    </w:p>
    <w:p>
      <w:pPr>
        <w:pBdr>
          <w:bottom w:val="single" w:color="1A5C38" w:sz="8"/>
        </w:pBdr>
        <w:spacing w:after="120" w:before="360"/>
      </w:pPr>
      <w:r>
        <w:rPr>
          <w:rFonts w:ascii="Calibri" w:cs="Calibri" w:eastAsia="Calibri" w:hAnsi="Calibri"/>
          <w:b/>
          <w:bCs/>
          <w:color w:val="1A5C38"/>
          <w:sz w:val="26"/>
          <w:szCs w:val="26"/>
        </w:rPr>
        <w:t xml:space="preserve">2.2 Project Objectives</w:t>
      </w:r>
    </w:p>
    <w:p>
      <w:pPr>
        <w:spacing w:after="120"/>
        <w:jc w:val="both"/>
      </w:pPr>
      <w:r>
        <w:rPr>
          <w:rFonts w:ascii="Calibri" w:cs="Calibri" w:eastAsia="Calibri" w:hAnsi="Calibri"/>
          <w:color w:val="1A1A1A"/>
          <w:sz w:val="20"/>
          <w:szCs w:val="20"/>
        </w:rPr>
        <w:t xml:space="preserve">This project was commissioned to address five core analytical objectives:</w:t>
      </w:r>
    </w:p>
    <w:p>
      <w:pPr>
        <w:spacing w:after="80"/>
        <w:ind w:left="360"/>
      </w:pPr>
      <w:r>
        <w:rPr>
          <w:rFonts w:ascii="Calibri" w:cs="Calibri" w:eastAsia="Calibri" w:hAnsi="Calibri"/>
          <w:color w:val="1A1A1A"/>
          <w:sz w:val="20"/>
          <w:szCs w:val="20"/>
        </w:rPr>
        <w:t xml:space="preserve">•  Revenue Performance Analytics — evaluate total revenue, gross profit, growth rates and category contributions.</w:t>
      </w:r>
    </w:p>
    <w:p>
      <w:pPr>
        <w:spacing w:after="80"/>
        <w:ind w:left="360"/>
      </w:pPr>
      <w:r>
        <w:rPr>
          <w:rFonts w:ascii="Calibri" w:cs="Calibri" w:eastAsia="Calibri" w:hAnsi="Calibri"/>
          <w:color w:val="1A1A1A"/>
          <w:sz w:val="20"/>
          <w:szCs w:val="20"/>
        </w:rPr>
        <w:t xml:space="preserve">•  Customer Intelligence &amp; Segmentation — analyse customer lifetime value, retention, repeat purchase behaviour and segment profitability.</w:t>
      </w:r>
    </w:p>
    <w:p>
      <w:pPr>
        <w:spacing w:after="80"/>
        <w:ind w:left="360"/>
      </w:pPr>
      <w:r>
        <w:rPr>
          <w:rFonts w:ascii="Calibri" w:cs="Calibri" w:eastAsia="Calibri" w:hAnsi="Calibri"/>
          <w:color w:val="1A1A1A"/>
          <w:sz w:val="20"/>
          <w:szCs w:val="20"/>
        </w:rPr>
        <w:t xml:space="preserve">•  Sales Channel Performance — compare Online, Store and Marketplace channels across revenue, profit and transaction volume.</w:t>
      </w:r>
    </w:p>
    <w:p>
      <w:pPr>
        <w:spacing w:after="80"/>
        <w:ind w:left="360"/>
      </w:pPr>
      <w:r>
        <w:rPr>
          <w:rFonts w:ascii="Calibri" w:cs="Calibri" w:eastAsia="Calibri" w:hAnsi="Calibri"/>
          <w:color w:val="1A1A1A"/>
          <w:sz w:val="20"/>
          <w:szCs w:val="20"/>
        </w:rPr>
        <w:t xml:space="preserve">•  Pricing &amp; Discount Effectiveness — assess discount utilisation, revenue leakage and margin impact.</w:t>
      </w:r>
    </w:p>
    <w:p>
      <w:pPr>
        <w:spacing w:after="80"/>
        <w:ind w:left="360"/>
      </w:pPr>
      <w:r>
        <w:rPr>
          <w:rFonts w:ascii="Calibri" w:cs="Calibri" w:eastAsia="Calibri" w:hAnsi="Calibri"/>
          <w:color w:val="1A1A1A"/>
          <w:sz w:val="20"/>
          <w:szCs w:val="20"/>
        </w:rPr>
        <w:t xml:space="preserve">•  Executive Decision Intelligence — develop an interactive Power BI dashboard to support ongoing strategic monitoring.</w:t>
      </w:r>
    </w:p>
    <w:p>
      <w:pPr>
        <w:pBdr>
          <w:bottom w:val="single" w:color="1A5C38" w:sz="8"/>
        </w:pBdr>
        <w:spacing w:after="120" w:before="360"/>
      </w:pPr>
      <w:r>
        <w:rPr>
          <w:rFonts w:ascii="Calibri" w:cs="Calibri" w:eastAsia="Calibri" w:hAnsi="Calibri"/>
          <w:b/>
          <w:bCs/>
          <w:color w:val="1A5C38"/>
          <w:sz w:val="26"/>
          <w:szCs w:val="26"/>
        </w:rPr>
        <w:t xml:space="preserve">2.3 Dataset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A5C38" w:val="clear"/>
          </w:tcPr>
          <w:p>
            <w:pPr>
              <w:spacing w:after="60" w:before="60"/>
            </w:pPr>
            <w:r>
              <w:rPr>
                <w:rFonts w:ascii="Calibri" w:cs="Calibri" w:eastAsia="Calibri" w:hAnsi="Calibri"/>
                <w:b/>
                <w:bCs/>
                <w:color w:val="FFFFFF"/>
                <w:sz w:val="18"/>
                <w:szCs w:val="18"/>
              </w:rPr>
              <w:t xml:space="preserve">Table</w:t>
            </w:r>
          </w:p>
        </w:tc>
        <w:tc>
          <w:tcPr>
            <w:tcW w:type="dxa" w:w="2300"/>
            <w:shd w:fill="1A5C38" w:val="clear"/>
          </w:tcPr>
          <w:p>
            <w:pPr>
              <w:spacing w:after="60" w:before="60"/>
            </w:pPr>
            <w:r>
              <w:rPr>
                <w:rFonts w:ascii="Calibri" w:cs="Calibri" w:eastAsia="Calibri" w:hAnsi="Calibri"/>
                <w:b/>
                <w:bCs/>
                <w:color w:val="FFFFFF"/>
                <w:sz w:val="18"/>
                <w:szCs w:val="18"/>
              </w:rPr>
              <w:t xml:space="preserve">Rows</w:t>
            </w:r>
          </w:p>
        </w:tc>
        <w:tc>
          <w:tcPr>
            <w:tcW w:type="dxa" w:w="2300"/>
            <w:shd w:fill="1A5C38" w:val="clear"/>
          </w:tcPr>
          <w:p>
            <w:pPr>
              <w:spacing w:after="60" w:before="60"/>
            </w:pPr>
            <w:r>
              <w:rPr>
                <w:rFonts w:ascii="Calibri" w:cs="Calibri" w:eastAsia="Calibri" w:hAnsi="Calibri"/>
                <w:b/>
                <w:bCs/>
                <w:color w:val="FFFFFF"/>
                <w:sz w:val="18"/>
                <w:szCs w:val="18"/>
              </w:rPr>
              <w:t xml:space="preserve">Role</w:t>
            </w:r>
          </w:p>
        </w:tc>
        <w:tc>
          <w:tcPr>
            <w:tcW w:type="dxa" w:w="2300"/>
            <w:shd w:fill="1A5C38" w:val="clear"/>
          </w:tcPr>
          <w:p>
            <w:pPr>
              <w:spacing w:after="60" w:before="60"/>
            </w:pPr>
            <w:r>
              <w:rPr>
                <w:rFonts w:ascii="Calibri" w:cs="Calibri" w:eastAsia="Calibri" w:hAnsi="Calibri"/>
                <w:b/>
                <w:bCs/>
                <w:color w:val="FFFFFF"/>
                <w:sz w:val="18"/>
                <w:szCs w:val="18"/>
              </w:rPr>
              <w:t xml:space="preserve">Key Columns</w:t>
            </w:r>
          </w:p>
        </w:tc>
      </w:tr>
      <w:tr>
        <w:tc>
          <w:tcPr>
            <w:tcW w:type="dxa" w:w="2300"/>
            <w:shd w:fill="EAF4EE" w:val="clear"/>
          </w:tcPr>
          <w:p>
            <w:pPr>
              <w:spacing w:after="60" w:before="60"/>
            </w:pPr>
            <w:r>
              <w:rPr>
                <w:rFonts w:ascii="Calibri" w:cs="Calibri" w:eastAsia="Calibri" w:hAnsi="Calibri"/>
                <w:color w:val="1A1A1A"/>
                <w:sz w:val="17"/>
                <w:szCs w:val="17"/>
              </w:rPr>
              <w:t xml:space="preserve">Sales Transactions</w:t>
            </w:r>
          </w:p>
        </w:tc>
        <w:tc>
          <w:tcPr>
            <w:tcW w:type="dxa" w:w="2300"/>
            <w:shd w:fill="EAF4EE" w:val="clear"/>
          </w:tcPr>
          <w:p>
            <w:pPr>
              <w:spacing w:after="60" w:before="60"/>
            </w:pPr>
            <w:r>
              <w:rPr>
                <w:rFonts w:ascii="Calibri" w:cs="Calibri" w:eastAsia="Calibri" w:hAnsi="Calibri"/>
                <w:color w:val="1A1A1A"/>
                <w:sz w:val="17"/>
                <w:szCs w:val="17"/>
              </w:rPr>
              <w:t xml:space="preserve">50,000</w:t>
            </w:r>
          </w:p>
        </w:tc>
        <w:tc>
          <w:tcPr>
            <w:tcW w:type="dxa" w:w="2300"/>
            <w:shd w:fill="EAF4EE" w:val="clear"/>
          </w:tcPr>
          <w:p>
            <w:pPr>
              <w:spacing w:after="60" w:before="60"/>
            </w:pPr>
            <w:r>
              <w:rPr>
                <w:rFonts w:ascii="Calibri" w:cs="Calibri" w:eastAsia="Calibri" w:hAnsi="Calibri"/>
                <w:color w:val="1A1A1A"/>
                <w:sz w:val="17"/>
                <w:szCs w:val="17"/>
              </w:rPr>
              <w:t xml:space="preserve">Fact Table</w:t>
            </w:r>
          </w:p>
        </w:tc>
        <w:tc>
          <w:tcPr>
            <w:tcW w:type="dxa" w:w="2300"/>
            <w:shd w:fill="EAF4EE" w:val="clear"/>
          </w:tcPr>
          <w:p>
            <w:pPr>
              <w:spacing w:after="60" w:before="60"/>
            </w:pPr>
            <w:r>
              <w:rPr>
                <w:rFonts w:ascii="Calibri" w:cs="Calibri" w:eastAsia="Calibri" w:hAnsi="Calibri"/>
                <w:color w:val="1A1A1A"/>
                <w:sz w:val="17"/>
                <w:szCs w:val="17"/>
              </w:rPr>
              <w:t xml:space="preserve">Transaction_ID, Revenue, Cost, Profit, Discount_Percent, Order_Status</w:t>
            </w:r>
          </w:p>
        </w:tc>
      </w:tr>
      <w:tr>
        <w:tc>
          <w:tcPr>
            <w:tcW w:type="dxa" w:w="2300"/>
            <w:shd w:fill="FFFFFF" w:val="clear"/>
          </w:tcPr>
          <w:p>
            <w:pPr>
              <w:spacing w:after="60" w:before="60"/>
            </w:pPr>
            <w:r>
              <w:rPr>
                <w:rFonts w:ascii="Calibri" w:cs="Calibri" w:eastAsia="Calibri" w:hAnsi="Calibri"/>
                <w:color w:val="1A1A1A"/>
                <w:sz w:val="17"/>
                <w:szCs w:val="17"/>
              </w:rPr>
              <w:t xml:space="preserve">Customers</w:t>
            </w:r>
          </w:p>
        </w:tc>
        <w:tc>
          <w:tcPr>
            <w:tcW w:type="dxa" w:w="2300"/>
            <w:shd w:fill="FFFFFF" w:val="clear"/>
          </w:tcPr>
          <w:p>
            <w:pPr>
              <w:spacing w:after="60" w:before="60"/>
            </w:pPr>
            <w:r>
              <w:rPr>
                <w:rFonts w:ascii="Calibri" w:cs="Calibri" w:eastAsia="Calibri" w:hAnsi="Calibri"/>
                <w:color w:val="1A1A1A"/>
                <w:sz w:val="17"/>
                <w:szCs w:val="17"/>
              </w:rPr>
              <w:t xml:space="preserve">5,000</w:t>
            </w:r>
          </w:p>
        </w:tc>
        <w:tc>
          <w:tcPr>
            <w:tcW w:type="dxa" w:w="2300"/>
            <w:shd w:fill="FFFFFF" w:val="clear"/>
          </w:tcPr>
          <w:p>
            <w:pPr>
              <w:spacing w:after="60" w:before="60"/>
            </w:pPr>
            <w:r>
              <w:rPr>
                <w:rFonts w:ascii="Calibri" w:cs="Calibri" w:eastAsia="Calibri" w:hAnsi="Calibri"/>
                <w:color w:val="1A1A1A"/>
                <w:sz w:val="17"/>
                <w:szCs w:val="17"/>
              </w:rPr>
              <w:t xml:space="preserve">Dimension</w:t>
            </w:r>
          </w:p>
        </w:tc>
        <w:tc>
          <w:tcPr>
            <w:tcW w:type="dxa" w:w="2300"/>
            <w:shd w:fill="FFFFFF" w:val="clear"/>
          </w:tcPr>
          <w:p>
            <w:pPr>
              <w:spacing w:after="60" w:before="60"/>
            </w:pPr>
            <w:r>
              <w:rPr>
                <w:rFonts w:ascii="Calibri" w:cs="Calibri" w:eastAsia="Calibri" w:hAnsi="Calibri"/>
                <w:color w:val="1A1A1A"/>
                <w:sz w:val="17"/>
                <w:szCs w:val="17"/>
              </w:rPr>
              <w:t xml:space="preserve">Customer_ID, Segment, Region, Loyalty_Member, Gender</w:t>
            </w:r>
          </w:p>
        </w:tc>
      </w:tr>
      <w:tr>
        <w:tc>
          <w:tcPr>
            <w:tcW w:type="dxa" w:w="2300"/>
            <w:shd w:fill="EAF4EE" w:val="clear"/>
          </w:tcPr>
          <w:p>
            <w:pPr>
              <w:spacing w:after="60" w:before="60"/>
            </w:pPr>
            <w:r>
              <w:rPr>
                <w:rFonts w:ascii="Calibri" w:cs="Calibri" w:eastAsia="Calibri" w:hAnsi="Calibri"/>
                <w:color w:val="1A1A1A"/>
                <w:sz w:val="17"/>
                <w:szCs w:val="17"/>
              </w:rPr>
              <w:t xml:space="preserve">Products</w:t>
            </w:r>
          </w:p>
        </w:tc>
        <w:tc>
          <w:tcPr>
            <w:tcW w:type="dxa" w:w="2300"/>
            <w:shd w:fill="EAF4EE" w:val="clear"/>
          </w:tcPr>
          <w:p>
            <w:pPr>
              <w:spacing w:after="60" w:before="60"/>
            </w:pPr>
            <w:r>
              <w:rPr>
                <w:rFonts w:ascii="Calibri" w:cs="Calibri" w:eastAsia="Calibri" w:hAnsi="Calibri"/>
                <w:color w:val="1A1A1A"/>
                <w:sz w:val="17"/>
                <w:szCs w:val="17"/>
              </w:rPr>
              <w:t xml:space="preserve">1,000</w:t>
            </w:r>
          </w:p>
        </w:tc>
        <w:tc>
          <w:tcPr>
            <w:tcW w:type="dxa" w:w="2300"/>
            <w:shd w:fill="EAF4EE" w:val="clear"/>
          </w:tcPr>
          <w:p>
            <w:pPr>
              <w:spacing w:after="60" w:before="60"/>
            </w:pPr>
            <w:r>
              <w:rPr>
                <w:rFonts w:ascii="Calibri" w:cs="Calibri" w:eastAsia="Calibri" w:hAnsi="Calibri"/>
                <w:color w:val="1A1A1A"/>
                <w:sz w:val="17"/>
                <w:szCs w:val="17"/>
              </w:rPr>
              <w:t xml:space="preserve">Dimension</w:t>
            </w:r>
          </w:p>
        </w:tc>
        <w:tc>
          <w:tcPr>
            <w:tcW w:type="dxa" w:w="2300"/>
            <w:shd w:fill="EAF4EE" w:val="clear"/>
          </w:tcPr>
          <w:p>
            <w:pPr>
              <w:spacing w:after="60" w:before="60"/>
            </w:pPr>
            <w:r>
              <w:rPr>
                <w:rFonts w:ascii="Calibri" w:cs="Calibri" w:eastAsia="Calibri" w:hAnsi="Calibri"/>
                <w:color w:val="1A1A1A"/>
                <w:sz w:val="17"/>
                <w:szCs w:val="17"/>
              </w:rPr>
              <w:t xml:space="preserve">Product_ID, Category, Unit_Cost, Selling_Price</w:t>
            </w:r>
          </w:p>
        </w:tc>
      </w:tr>
      <w:tr>
        <w:tc>
          <w:tcPr>
            <w:tcW w:type="dxa" w:w="2300"/>
            <w:shd w:fill="FFFFFF" w:val="clear"/>
          </w:tcPr>
          <w:p>
            <w:pPr>
              <w:spacing w:after="60" w:before="60"/>
            </w:pPr>
            <w:r>
              <w:rPr>
                <w:rFonts w:ascii="Calibri" w:cs="Calibri" w:eastAsia="Calibri" w:hAnsi="Calibri"/>
                <w:color w:val="1A1A1A"/>
                <w:sz w:val="17"/>
                <w:szCs w:val="17"/>
              </w:rPr>
              <w:t xml:space="preserve">Stores</w:t>
            </w:r>
          </w:p>
        </w:tc>
        <w:tc>
          <w:tcPr>
            <w:tcW w:type="dxa" w:w="2300"/>
            <w:shd w:fill="FFFFFF" w:val="clear"/>
          </w:tcPr>
          <w:p>
            <w:pPr>
              <w:spacing w:after="60" w:before="60"/>
            </w:pPr>
            <w:r>
              <w:rPr>
                <w:rFonts w:ascii="Calibri" w:cs="Calibri" w:eastAsia="Calibri" w:hAnsi="Calibri"/>
                <w:color w:val="1A1A1A"/>
                <w:sz w:val="17"/>
                <w:szCs w:val="17"/>
              </w:rPr>
              <w:t xml:space="preserve">50</w:t>
            </w:r>
          </w:p>
        </w:tc>
        <w:tc>
          <w:tcPr>
            <w:tcW w:type="dxa" w:w="2300"/>
            <w:shd w:fill="FFFFFF" w:val="clear"/>
          </w:tcPr>
          <w:p>
            <w:pPr>
              <w:spacing w:after="60" w:before="60"/>
            </w:pPr>
            <w:r>
              <w:rPr>
                <w:rFonts w:ascii="Calibri" w:cs="Calibri" w:eastAsia="Calibri" w:hAnsi="Calibri"/>
                <w:color w:val="1A1A1A"/>
                <w:sz w:val="17"/>
                <w:szCs w:val="17"/>
              </w:rPr>
              <w:t xml:space="preserve">Dimension</w:t>
            </w:r>
          </w:p>
        </w:tc>
        <w:tc>
          <w:tcPr>
            <w:tcW w:type="dxa" w:w="2300"/>
            <w:shd w:fill="FFFFFF" w:val="clear"/>
          </w:tcPr>
          <w:p>
            <w:pPr>
              <w:spacing w:after="60" w:before="60"/>
            </w:pPr>
            <w:r>
              <w:rPr>
                <w:rFonts w:ascii="Calibri" w:cs="Calibri" w:eastAsia="Calibri" w:hAnsi="Calibri"/>
                <w:color w:val="1A1A1A"/>
                <w:sz w:val="17"/>
                <w:szCs w:val="17"/>
              </w:rPr>
              <w:t xml:space="preserve">Store_ID, Region, Store_Type, Opening_Date</w:t>
            </w:r>
          </w:p>
        </w:tc>
      </w:tr>
    </w:tbl>
    <w:p>
      <w:pPr>
        <w:pBdr>
          <w:bottom w:val="single" w:color="1A5C38" w:sz="8"/>
        </w:pBdr>
        <w:spacing w:after="120" w:before="360"/>
      </w:pPr>
      <w:r>
        <w:rPr>
          <w:rFonts w:ascii="Calibri" w:cs="Calibri" w:eastAsia="Calibri" w:hAnsi="Calibri"/>
          <w:b/>
          <w:bCs/>
          <w:color w:val="1A5C38"/>
          <w:sz w:val="26"/>
          <w:szCs w:val="26"/>
        </w:rPr>
        <w:t xml:space="preserve">2.4 Methodology</w:t>
      </w:r>
    </w:p>
    <w:p>
      <w:pPr>
        <w:spacing w:after="120"/>
        <w:jc w:val="both"/>
      </w:pPr>
      <w:r>
        <w:rPr>
          <w:rFonts w:ascii="Calibri" w:cs="Calibri" w:eastAsia="Calibri" w:hAnsi="Calibri"/>
          <w:color w:val="1A1A1A"/>
          <w:sz w:val="20"/>
          <w:szCs w:val="20"/>
        </w:rPr>
        <w:t xml:space="preserve">The project followed a ten-step analytical workflow: Business Understanding → Data Collection → Data Quality Assessment → Data Preparation → Data Integration → KPI Development → Analysis → Dashboard Development → Insights → Final Delivery.</w:t>
      </w:r>
    </w:p>
    <w:p>
      <w:pPr>
        <w:spacing w:after="120"/>
        <w:jc w:val="both"/>
      </w:pPr>
      <w:r>
        <w:rPr>
          <w:rFonts w:ascii="Calibri" w:cs="Calibri" w:eastAsia="Calibri" w:hAnsi="Calibri"/>
          <w:color w:val="1A1A1A"/>
          <w:sz w:val="20"/>
          <w:szCs w:val="20"/>
        </w:rPr>
        <w:t xml:space="preserve">Data preparation was conducted in Microsoft Excel. The analytical model and dashboard were built in Power BI Desktop using a star schema with a dedicated Date Table for time intelligence. All DAX measures are documented in a separate Measures Library deliverable.</w:t>
      </w:r>
    </w:p>
    <w:p>
      <w:r>
        <w:br w:type="page"/>
      </w:r>
    </w:p>
    <w:p>
      <w:pPr>
        <w:shd w:fill="1A5C38" w:val="clear"/>
        <w:spacing w:after="200" w:before="400"/>
        <w:ind w:left="200"/>
      </w:pPr>
      <w:r>
        <w:rPr>
          <w:rFonts w:ascii="Calibri" w:cs="Calibri" w:eastAsia="Calibri" w:hAnsi="Calibri"/>
          <w:b/>
          <w:bCs/>
          <w:color w:val="FFFFFF"/>
          <w:sz w:val="36"/>
          <w:szCs w:val="36"/>
        </w:rPr>
        <w:t xml:space="preserve">3. Revenue Performance Analysis</w:t>
      </w:r>
    </w:p>
    <w:p>
      <w:pPr>
        <w:pBdr>
          <w:bottom w:val="single" w:color="1A5C38" w:sz="8"/>
        </w:pBdr>
        <w:spacing w:after="120" w:before="360"/>
      </w:pPr>
      <w:r>
        <w:rPr>
          <w:rFonts w:ascii="Calibri" w:cs="Calibri" w:eastAsia="Calibri" w:hAnsi="Calibri"/>
          <w:b/>
          <w:bCs/>
          <w:color w:val="1A5C38"/>
          <w:sz w:val="26"/>
          <w:szCs w:val="26"/>
        </w:rPr>
        <w:t xml:space="preserve">3.1 Headline Financial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£37.61M</w:t>
            </w:r>
          </w:p>
          <w:p>
            <w:pPr>
              <w:spacing w:after="60"/>
              <w:jc w:val="center"/>
            </w:pPr>
            <w:r>
              <w:rPr>
                <w:rFonts w:ascii="Calibri" w:cs="Calibri" w:eastAsia="Calibri" w:hAnsi="Calibri"/>
                <w:color w:val="555555"/>
                <w:sz w:val="16"/>
                <w:szCs w:val="16"/>
              </w:rPr>
              <w:t xml:space="preserve">Total Revenue</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£28.23M</w:t>
            </w:r>
          </w:p>
          <w:p>
            <w:pPr>
              <w:spacing w:after="60"/>
              <w:jc w:val="center"/>
            </w:pPr>
            <w:r>
              <w:rPr>
                <w:rFonts w:ascii="Calibri" w:cs="Calibri" w:eastAsia="Calibri" w:hAnsi="Calibri"/>
                <w:color w:val="555555"/>
                <w:sz w:val="16"/>
                <w:szCs w:val="16"/>
              </w:rPr>
              <w:t xml:space="preserve">Total Cost</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£9.38M</w:t>
            </w:r>
          </w:p>
          <w:p>
            <w:pPr>
              <w:spacing w:after="60"/>
              <w:jc w:val="center"/>
            </w:pPr>
            <w:r>
              <w:rPr>
                <w:rFonts w:ascii="Calibri" w:cs="Calibri" w:eastAsia="Calibri" w:hAnsi="Calibri"/>
                <w:color w:val="555555"/>
                <w:sz w:val="16"/>
                <w:szCs w:val="16"/>
              </w:rPr>
              <w:t xml:space="preserve">Gross Profit</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24.95%</w:t>
            </w:r>
          </w:p>
          <w:p>
            <w:pPr>
              <w:spacing w:after="60"/>
              <w:jc w:val="center"/>
            </w:pPr>
            <w:r>
              <w:rPr>
                <w:rFonts w:ascii="Calibri" w:cs="Calibri" w:eastAsia="Calibri" w:hAnsi="Calibri"/>
                <w:color w:val="555555"/>
                <w:sz w:val="16"/>
                <w:szCs w:val="16"/>
              </w:rPr>
              <w:t xml:space="preserve">Gross Profit Margin</w:t>
            </w:r>
          </w:p>
        </w:tc>
      </w:tr>
    </w:tbl>
    <w:p>
      <w:pPr>
        <w:spacing w:after="60"/>
      </w:pPr>
      <w:r>
        <w:t xml:space="preserve"/>
      </w:r>
    </w:p>
    <w:p>
      <w:pPr>
        <w:spacing w:after="120"/>
        <w:jc w:val="both"/>
      </w:pPr>
      <w:r>
        <w:rPr>
          <w:rFonts w:ascii="Calibri" w:cs="Calibri" w:eastAsia="Calibri" w:hAnsi="Calibri"/>
          <w:color w:val="1A1A1A"/>
          <w:sz w:val="20"/>
          <w:szCs w:val="20"/>
        </w:rPr>
        <w:t xml:space="preserve">RetailMax generated £37.61M in total revenue from completed transactions across the three-year period. Total cost of goods sold amounted to £28.23M, yielding a gross profit of £9.38M — a margin of 24.95%. Note that Net Profit cannot be calculated as operating expense data was unavailable in the provided dataset.</w:t>
      </w:r>
    </w:p>
    <w:p>
      <w:pPr>
        <w:pBdr>
          <w:bottom w:val="single" w:color="1A5C38" w:sz="8"/>
        </w:pBdr>
        <w:spacing w:after="120" w:before="360"/>
      </w:pPr>
      <w:r>
        <w:rPr>
          <w:rFonts w:ascii="Calibri" w:cs="Calibri" w:eastAsia="Calibri" w:hAnsi="Calibri"/>
          <w:b/>
          <w:bCs/>
          <w:color w:val="1A5C38"/>
          <w:sz w:val="26"/>
          <w:szCs w:val="26"/>
        </w:rPr>
        <w:t xml:space="preserve">3.2 Revenue Growth Trend</w:t>
      </w:r>
    </w:p>
    <w:p>
      <w:pPr>
        <w:spacing w:after="120"/>
        <w:jc w:val="both"/>
      </w:pPr>
      <w:r>
        <w:rPr>
          <w:rFonts w:ascii="Calibri" w:cs="Calibri" w:eastAsia="Calibri" w:hAnsi="Calibri"/>
          <w:color w:val="1A1A1A"/>
          <w:sz w:val="20"/>
          <w:szCs w:val="20"/>
        </w:rPr>
        <w:t xml:space="preserve">Year-on-year revenue growth has been minimal across the analysis period: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1A5C38" w:val="clear"/>
          </w:tcPr>
          <w:p>
            <w:pPr>
              <w:jc w:val="center"/>
            </w:pPr>
            <w:r>
              <w:rPr>
                <w:rFonts w:ascii="Calibri" w:cs="Calibri" w:eastAsia="Calibri" w:hAnsi="Calibri"/>
                <w:b/>
                <w:bCs/>
                <w:color w:val="FFFFFF"/>
                <w:sz w:val="18"/>
                <w:szCs w:val="18"/>
              </w:rPr>
              <w:t xml:space="preserve">Year</w:t>
            </w:r>
          </w:p>
        </w:tc>
        <w:tc>
          <w:tcPr>
            <w:tcW w:type="dxa" w:w="2300"/>
            <w:shd w:fill="1A5C38" w:val="clear"/>
          </w:tcPr>
          <w:p>
            <w:pPr>
              <w:jc w:val="center"/>
            </w:pPr>
            <w:r>
              <w:rPr>
                <w:rFonts w:ascii="Calibri" w:cs="Calibri" w:eastAsia="Calibri" w:hAnsi="Calibri"/>
                <w:b/>
                <w:bCs/>
                <w:color w:val="FFFFFF"/>
                <w:sz w:val="18"/>
                <w:szCs w:val="18"/>
              </w:rPr>
              <w:t xml:space="preserve">Total Revenue</w:t>
            </w:r>
          </w:p>
        </w:tc>
        <w:tc>
          <w:tcPr>
            <w:tcW w:type="dxa" w:w="2300"/>
            <w:shd w:fill="1A5C38" w:val="clear"/>
          </w:tcPr>
          <w:p>
            <w:pPr>
              <w:jc w:val="center"/>
            </w:pPr>
            <w:r>
              <w:rPr>
                <w:rFonts w:ascii="Calibri" w:cs="Calibri" w:eastAsia="Calibri" w:hAnsi="Calibri"/>
                <w:b/>
                <w:bCs/>
                <w:color w:val="FFFFFF"/>
                <w:sz w:val="18"/>
                <w:szCs w:val="18"/>
              </w:rPr>
              <w:t xml:space="preserve">Previous Year Revenue</w:t>
            </w:r>
          </w:p>
        </w:tc>
        <w:tc>
          <w:tcPr>
            <w:tcW w:type="dxa" w:w="2300"/>
            <w:shd w:fill="1A5C38" w:val="clear"/>
          </w:tcPr>
          <w:p>
            <w:pPr>
              <w:jc w:val="center"/>
            </w:pPr>
            <w:r>
              <w:rPr>
                <w:rFonts w:ascii="Calibri" w:cs="Calibri" w:eastAsia="Calibri" w:hAnsi="Calibri"/>
                <w:b/>
                <w:bCs/>
                <w:color w:val="FFFFFF"/>
                <w:sz w:val="18"/>
                <w:szCs w:val="18"/>
              </w:rPr>
              <w:t xml:space="preserve">Growth Rate</w:t>
            </w:r>
          </w:p>
        </w:tc>
      </w:tr>
      <w:tr>
        <w:tc>
          <w:tcPr>
            <w:tcW w:type="dxa" w:w="2300"/>
            <w:shd w:fill="EAF4EE" w:val="clear"/>
          </w:tcPr>
          <w:p>
            <w:pPr>
              <w:jc w:val="center"/>
            </w:pPr>
            <w:r>
              <w:rPr>
                <w:rFonts w:ascii="Calibri" w:cs="Calibri" w:eastAsia="Calibri" w:hAnsi="Calibri"/>
                <w:color w:val="1A1A1A"/>
                <w:sz w:val="18"/>
                <w:szCs w:val="18"/>
              </w:rPr>
              <w:t xml:space="preserve">2023</w:t>
            </w:r>
          </w:p>
        </w:tc>
        <w:tc>
          <w:tcPr>
            <w:tcW w:type="dxa" w:w="2300"/>
            <w:shd w:fill="EAF4EE" w:val="clear"/>
          </w:tcPr>
          <w:p>
            <w:pPr>
              <w:jc w:val="center"/>
            </w:pPr>
            <w:r>
              <w:rPr>
                <w:rFonts w:ascii="Calibri" w:cs="Calibri" w:eastAsia="Calibri" w:hAnsi="Calibri"/>
                <w:color w:val="1A1A1A"/>
                <w:sz w:val="18"/>
                <w:szCs w:val="18"/>
              </w:rPr>
              <w:t xml:space="preserve">£12,455,589.72</w:t>
            </w:r>
          </w:p>
        </w:tc>
        <w:tc>
          <w:tcPr>
            <w:tcW w:type="dxa" w:w="2300"/>
            <w:shd w:fill="EAF4EE" w:val="clear"/>
          </w:tcPr>
          <w:p>
            <w:pPr>
              <w:jc w:val="center"/>
            </w:pPr>
            <w:r>
              <w:rPr>
                <w:rFonts w:ascii="Calibri" w:cs="Calibri" w:eastAsia="Calibri" w:hAnsi="Calibri"/>
                <w:color w:val="1A1A1A"/>
                <w:sz w:val="18"/>
                <w:szCs w:val="18"/>
              </w:rPr>
              <w:t xml:space="preserve">—</w:t>
            </w:r>
          </w:p>
        </w:tc>
        <w:tc>
          <w:tcPr>
            <w:tcW w:type="dxa" w:w="2300"/>
            <w:shd w:fill="EAF4EE" w:val="clear"/>
          </w:tcPr>
          <w:p>
            <w:pPr>
              <w:jc w:val="center"/>
            </w:pPr>
            <w:r>
              <w:rPr>
                <w:rFonts w:ascii="Calibri" w:cs="Calibri" w:eastAsia="Calibri" w:hAnsi="Calibri"/>
                <w:color w:val="1A1A1A"/>
                <w:sz w:val="18"/>
                <w:szCs w:val="18"/>
              </w:rPr>
              <w:t xml:space="preserve">Baseline</w:t>
            </w:r>
          </w:p>
        </w:tc>
      </w:tr>
      <w:tr>
        <w:tc>
          <w:tcPr>
            <w:tcW w:type="dxa" w:w="2300"/>
            <w:shd w:fill="FFFFFF" w:val="clear"/>
          </w:tcPr>
          <w:p>
            <w:pPr>
              <w:jc w:val="center"/>
            </w:pPr>
            <w:r>
              <w:rPr>
                <w:rFonts w:ascii="Calibri" w:cs="Calibri" w:eastAsia="Calibri" w:hAnsi="Calibri"/>
                <w:color w:val="1A1A1A"/>
                <w:sz w:val="18"/>
                <w:szCs w:val="18"/>
              </w:rPr>
              <w:t xml:space="preserve">2024</w:t>
            </w:r>
          </w:p>
        </w:tc>
        <w:tc>
          <w:tcPr>
            <w:tcW w:type="dxa" w:w="2300"/>
            <w:shd w:fill="FFFFFF" w:val="clear"/>
          </w:tcPr>
          <w:p>
            <w:pPr>
              <w:jc w:val="center"/>
            </w:pPr>
            <w:r>
              <w:rPr>
                <w:rFonts w:ascii="Calibri" w:cs="Calibri" w:eastAsia="Calibri" w:hAnsi="Calibri"/>
                <w:color w:val="1A1A1A"/>
                <w:sz w:val="18"/>
                <w:szCs w:val="18"/>
              </w:rPr>
              <w:t xml:space="preserve">£12,479,683.52</w:t>
            </w:r>
          </w:p>
        </w:tc>
        <w:tc>
          <w:tcPr>
            <w:tcW w:type="dxa" w:w="2300"/>
            <w:shd w:fill="FFFFFF" w:val="clear"/>
          </w:tcPr>
          <w:p>
            <w:pPr>
              <w:jc w:val="center"/>
            </w:pPr>
            <w:r>
              <w:rPr>
                <w:rFonts w:ascii="Calibri" w:cs="Calibri" w:eastAsia="Calibri" w:hAnsi="Calibri"/>
                <w:color w:val="1A1A1A"/>
                <w:sz w:val="18"/>
                <w:szCs w:val="18"/>
              </w:rPr>
              <w:t xml:space="preserve">£12,455,589.72</w:t>
            </w:r>
          </w:p>
        </w:tc>
        <w:tc>
          <w:tcPr>
            <w:tcW w:type="dxa" w:w="2300"/>
            <w:shd w:fill="FFFFFF" w:val="clear"/>
          </w:tcPr>
          <w:p>
            <w:pPr>
              <w:jc w:val="center"/>
            </w:pPr>
            <w:r>
              <w:rPr>
                <w:rFonts w:ascii="Calibri" w:cs="Calibri" w:eastAsia="Calibri" w:hAnsi="Calibri"/>
                <w:color w:val="1A1A1A"/>
                <w:sz w:val="18"/>
                <w:szCs w:val="18"/>
              </w:rPr>
              <w:t xml:space="preserve">0.19%</w:t>
            </w:r>
          </w:p>
        </w:tc>
      </w:tr>
      <w:tr>
        <w:tc>
          <w:tcPr>
            <w:tcW w:type="dxa" w:w="2300"/>
            <w:shd w:fill="EAF4EE" w:val="clear"/>
          </w:tcPr>
          <w:p>
            <w:pPr>
              <w:jc w:val="center"/>
            </w:pPr>
            <w:r>
              <w:rPr>
                <w:rFonts w:ascii="Calibri" w:cs="Calibri" w:eastAsia="Calibri" w:hAnsi="Calibri"/>
                <w:color w:val="1A1A1A"/>
                <w:sz w:val="18"/>
                <w:szCs w:val="18"/>
              </w:rPr>
              <w:t xml:space="preserve">2025</w:t>
            </w:r>
          </w:p>
        </w:tc>
        <w:tc>
          <w:tcPr>
            <w:tcW w:type="dxa" w:w="2300"/>
            <w:shd w:fill="EAF4EE" w:val="clear"/>
          </w:tcPr>
          <w:p>
            <w:pPr>
              <w:jc w:val="center"/>
            </w:pPr>
            <w:r>
              <w:rPr>
                <w:rFonts w:ascii="Calibri" w:cs="Calibri" w:eastAsia="Calibri" w:hAnsi="Calibri"/>
                <w:color w:val="1A1A1A"/>
                <w:sz w:val="18"/>
                <w:szCs w:val="18"/>
              </w:rPr>
              <w:t xml:space="preserve">£12,671,849.84</w:t>
            </w:r>
          </w:p>
        </w:tc>
        <w:tc>
          <w:tcPr>
            <w:tcW w:type="dxa" w:w="2300"/>
            <w:shd w:fill="EAF4EE" w:val="clear"/>
          </w:tcPr>
          <w:p>
            <w:pPr>
              <w:jc w:val="center"/>
            </w:pPr>
            <w:r>
              <w:rPr>
                <w:rFonts w:ascii="Calibri" w:cs="Calibri" w:eastAsia="Calibri" w:hAnsi="Calibri"/>
                <w:color w:val="1A1A1A"/>
                <w:sz w:val="18"/>
                <w:szCs w:val="18"/>
              </w:rPr>
              <w:t xml:space="preserve">£12,479,683.52</w:t>
            </w:r>
          </w:p>
        </w:tc>
        <w:tc>
          <w:tcPr>
            <w:tcW w:type="dxa" w:w="2300"/>
            <w:shd w:fill="EAF4EE" w:val="clear"/>
          </w:tcPr>
          <w:p>
            <w:pPr>
              <w:jc w:val="center"/>
            </w:pPr>
            <w:r>
              <w:rPr>
                <w:rFonts w:ascii="Calibri" w:cs="Calibri" w:eastAsia="Calibri" w:hAnsi="Calibri"/>
                <w:color w:val="1A1A1A"/>
                <w:sz w:val="18"/>
                <w:szCs w:val="18"/>
              </w:rPr>
              <w:t xml:space="preserve">1.54%</w:t>
            </w:r>
          </w:p>
        </w:tc>
      </w:tr>
    </w:tbl>
    <w:p>
      <w:pPr>
        <w:spacing w:after="60"/>
      </w:pPr>
      <w:r>
        <w:t xml:space="preserve"/>
      </w:r>
    </w:p>
    <w:p>
      <w:pPr>
        <w:spacing w:after="120"/>
        <w:jc w:val="both"/>
      </w:pPr>
      <w:r>
        <w:rPr>
          <w:rFonts w:ascii="Calibri" w:cs="Calibri" w:eastAsia="Calibri" w:hAnsi="Calibri"/>
          <w:color w:val="1A1A1A"/>
          <w:sz w:val="20"/>
          <w:szCs w:val="20"/>
        </w:rPr>
        <w:t xml:space="preserve">Growth of 0.19% in 2024 and 1.54% in 2025 indicates a largely stagnant top line. As discussed in Section 4, this is likely connected to the aggressive discounting strategy which suppresses revenue realisation despite high transaction volumes.</w:t>
      </w:r>
    </w:p>
    <w:p>
      <w:pPr>
        <w:pBdr>
          <w:bottom w:val="single" w:color="1A5C38" w:sz="8"/>
        </w:pBdr>
        <w:spacing w:after="120" w:before="360"/>
      </w:pPr>
      <w:r>
        <w:rPr>
          <w:rFonts w:ascii="Calibri" w:cs="Calibri" w:eastAsia="Calibri" w:hAnsi="Calibri"/>
          <w:b/>
          <w:bCs/>
          <w:color w:val="1A5C38"/>
          <w:sz w:val="26"/>
          <w:szCs w:val="26"/>
        </w:rPr>
        <w:t xml:space="preserve">3.3 Revenue Contribution by Product Category</w:t>
      </w:r>
    </w:p>
    <w:p>
      <w:pPr>
        <w:spacing w:after="120"/>
        <w:jc w:val="both"/>
      </w:pPr>
      <w:r>
        <w:rPr>
          <w:rFonts w:ascii="Calibri" w:cs="Calibri" w:eastAsia="Calibri" w:hAnsi="Calibri"/>
          <w:color w:val="1A1A1A"/>
          <w:sz w:val="20"/>
          <w:szCs w:val="20"/>
        </w:rPr>
        <w:t xml:space="preserve">Revenue is relatively evenly distributed across the four product categories, with no single category dominating:</w:t>
      </w:r>
    </w:p>
    <w:p>
      <w:pPr>
        <w:spacing w:after="80"/>
        <w:ind w:left="360"/>
      </w:pPr>
      <w:r>
        <w:rPr>
          <w:rFonts w:ascii="Calibri" w:cs="Calibri" w:eastAsia="Calibri" w:hAnsi="Calibri"/>
          <w:color w:val="1A1A1A"/>
          <w:sz w:val="20"/>
          <w:szCs w:val="20"/>
        </w:rPr>
        <w:t xml:space="preserve">•  Home Appliances: 26.64% of total revenue (£10.0M) — highest gross profit at £2.54M</w:t>
      </w:r>
    </w:p>
    <w:p>
      <w:pPr>
        <w:spacing w:after="80"/>
        <w:ind w:left="360"/>
      </w:pPr>
      <w:r>
        <w:rPr>
          <w:rFonts w:ascii="Calibri" w:cs="Calibri" w:eastAsia="Calibri" w:hAnsi="Calibri"/>
          <w:color w:val="1A1A1A"/>
          <w:sz w:val="20"/>
          <w:szCs w:val="20"/>
        </w:rPr>
        <w:t xml:space="preserve">•  Lifestyle: 25.26% (£9.5M)</w:t>
      </w:r>
    </w:p>
    <w:p>
      <w:pPr>
        <w:spacing w:after="80"/>
        <w:ind w:left="360"/>
      </w:pPr>
      <w:r>
        <w:rPr>
          <w:rFonts w:ascii="Calibri" w:cs="Calibri" w:eastAsia="Calibri" w:hAnsi="Calibri"/>
          <w:color w:val="1A1A1A"/>
          <w:sz w:val="20"/>
          <w:szCs w:val="20"/>
        </w:rPr>
        <w:t xml:space="preserve">•  Office Tech: 23.62% (£8.9M)</w:t>
      </w:r>
    </w:p>
    <w:p>
      <w:pPr>
        <w:spacing w:after="80"/>
        <w:ind w:left="360"/>
      </w:pPr>
      <w:r>
        <w:rPr>
          <w:rFonts w:ascii="Calibri" w:cs="Calibri" w:eastAsia="Calibri" w:hAnsi="Calibri"/>
          <w:color w:val="1A1A1A"/>
          <w:sz w:val="20"/>
          <w:szCs w:val="20"/>
        </w:rPr>
        <w:t xml:space="preserve">•  Electronics: 23.34% (£8.8M)</w:t>
      </w:r>
    </w:p>
    <w:p>
      <w:pPr>
        <w:spacing w:after="80"/>
        <w:ind w:left="360"/>
      </w:pPr>
      <w:r>
        <w:rPr>
          <w:rFonts w:ascii="Calibri" w:cs="Calibri" w:eastAsia="Calibri" w:hAnsi="Calibri"/>
          <w:color w:val="1A1A1A"/>
          <w:sz w:val="20"/>
          <w:szCs w:val="20"/>
        </w:rPr>
        <w:t xml:space="preserve">•  Unknown Product: 1.15% (£0.4M) — transactions linked to unmatched Product IDs</w:t>
      </w:r>
    </w:p>
    <w:p>
      <w:pPr>
        <w:spacing w:after="120"/>
        <w:jc w:val="both"/>
      </w:pPr>
      <w:r>
        <w:rPr>
          <w:rFonts w:ascii="Calibri" w:cs="Calibri" w:eastAsia="Calibri" w:hAnsi="Calibri"/>
          <w:color w:val="1A1A1A"/>
          <w:sz w:val="20"/>
          <w:szCs w:val="20"/>
        </w:rPr>
        <w:t xml:space="preserve">The near-equal distribution across categories is characteristic of synthetic data and unlikely to reflect real retail dynamics. In practice, one or two categories would typically dominate revenue contribution.</w:t>
      </w:r>
    </w:p>
    <w:p>
      <w:r>
        <w:br w:type="page"/>
      </w:r>
    </w:p>
    <w:p>
      <w:pPr>
        <w:shd w:fill="1A5C38" w:val="clear"/>
        <w:spacing w:after="200" w:before="400"/>
        <w:ind w:left="200"/>
      </w:pPr>
      <w:r>
        <w:rPr>
          <w:rFonts w:ascii="Calibri" w:cs="Calibri" w:eastAsia="Calibri" w:hAnsi="Calibri"/>
          <w:b/>
          <w:bCs/>
          <w:color w:val="FFFFFF"/>
          <w:sz w:val="36"/>
          <w:szCs w:val="36"/>
        </w:rPr>
        <w:t xml:space="preserve">4. Pricing &amp; Discount Effectiveness</w:t>
      </w:r>
    </w:p>
    <w:p>
      <w:pPr>
        <w:pBdr>
          <w:bottom w:val="single" w:color="1A5C38" w:sz="8"/>
        </w:pBdr>
        <w:spacing w:after="120" w:before="360"/>
      </w:pPr>
      <w:r>
        <w:rPr>
          <w:rFonts w:ascii="Calibri" w:cs="Calibri" w:eastAsia="Calibri" w:hAnsi="Calibri"/>
          <w:b/>
          <w:bCs/>
          <w:color w:val="1A5C38"/>
          <w:sz w:val="26"/>
          <w:szCs w:val="26"/>
        </w:rPr>
        <w:t xml:space="preserve">4.1 Discount Utilisation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98.71%</w:t>
            </w:r>
          </w:p>
          <w:p>
            <w:pPr>
              <w:spacing w:after="60"/>
              <w:jc w:val="center"/>
            </w:pPr>
            <w:r>
              <w:rPr>
                <w:rFonts w:ascii="Calibri" w:cs="Calibri" w:eastAsia="Calibri" w:hAnsi="Calibri"/>
                <w:color w:val="555555"/>
                <w:sz w:val="16"/>
                <w:szCs w:val="16"/>
              </w:rPr>
              <w:t xml:space="preserve">Discount Utilisation Rate</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16,660</w:t>
            </w:r>
          </w:p>
          <w:p>
            <w:pPr>
              <w:spacing w:after="60"/>
              <w:jc w:val="center"/>
            </w:pPr>
            <w:r>
              <w:rPr>
                <w:rFonts w:ascii="Calibri" w:cs="Calibri" w:eastAsia="Calibri" w:hAnsi="Calibri"/>
                <w:color w:val="555555"/>
                <w:sz w:val="16"/>
                <w:szCs w:val="16"/>
              </w:rPr>
              <w:t xml:space="preserve">Discounted Transactions</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~217</w:t>
            </w:r>
          </w:p>
          <w:p>
            <w:pPr>
              <w:spacing w:after="60"/>
              <w:jc w:val="center"/>
            </w:pPr>
            <w:r>
              <w:rPr>
                <w:rFonts w:ascii="Calibri" w:cs="Calibri" w:eastAsia="Calibri" w:hAnsi="Calibri"/>
                <w:color w:val="555555"/>
                <w:sz w:val="16"/>
                <w:szCs w:val="16"/>
              </w:rPr>
              <w:t xml:space="preserve">Full-Price Transactions</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~20%</w:t>
            </w:r>
          </w:p>
          <w:p>
            <w:pPr>
              <w:spacing w:after="60"/>
              <w:jc w:val="center"/>
            </w:pPr>
            <w:r>
              <w:rPr>
                <w:rFonts w:ascii="Calibri" w:cs="Calibri" w:eastAsia="Calibri" w:hAnsi="Calibri"/>
                <w:color w:val="555555"/>
                <w:sz w:val="16"/>
                <w:szCs w:val="16"/>
              </w:rPr>
              <w:t xml:space="preserve">Avg. Discount Applied</w:t>
            </w:r>
          </w:p>
        </w:tc>
      </w:tr>
    </w:tbl>
    <w:p>
      <w:pPr>
        <w:spacing w:after="60"/>
      </w:pPr>
      <w:r>
        <w:t xml:space="preserve"/>
      </w:r>
    </w:p>
    <w:p>
      <w:pPr>
        <w:spacing w:after="120"/>
        <w:jc w:val="both"/>
      </w:pPr>
      <w:r>
        <w:rPr>
          <w:rFonts w:ascii="Calibri" w:cs="Calibri" w:eastAsia="Calibri" w:hAnsi="Calibri"/>
          <w:color w:val="1A1A1A"/>
          <w:sz w:val="20"/>
          <w:szCs w:val="20"/>
        </w:rPr>
        <w:t xml:space="preserve">Of the 16,877 completed transactions, 16,660 (98.71%) had a discount applied. This is an extraordinarily high discount rate that suggests discounting has become the default commercial approach rather than a targeted promotional tool.</w:t>
      </w:r>
    </w:p>
    <w:p>
      <w:pPr>
        <w:pBdr>
          <w:bottom w:val="single" w:color="1A5C38" w:sz="8"/>
        </w:pBdr>
        <w:spacing w:after="120" w:before="360"/>
      </w:pPr>
      <w:r>
        <w:rPr>
          <w:rFonts w:ascii="Calibri" w:cs="Calibri" w:eastAsia="Calibri" w:hAnsi="Calibri"/>
          <w:b/>
          <w:bCs/>
          <w:color w:val="1A5C38"/>
          <w:sz w:val="26"/>
          <w:szCs w:val="26"/>
        </w:rPr>
        <w:t xml:space="preserve">4.2 Revenue Leakage</w:t>
      </w:r>
    </w:p>
    <w:p>
      <w:pPr>
        <w:spacing w:after="120"/>
        <w:jc w:val="both"/>
      </w:pPr>
      <w:r>
        <w:rPr>
          <w:rFonts w:ascii="Calibri" w:cs="Calibri" w:eastAsia="Calibri" w:hAnsi="Calibri"/>
          <w:color w:val="1A1A1A"/>
          <w:sz w:val="20"/>
          <w:szCs w:val="20"/>
        </w:rPr>
        <w:t xml:space="preserve">Revenue leakage — the potential revenue lost through discounting — was calculated as:</w:t>
      </w:r>
    </w:p>
    <w:p>
      <w:pPr>
        <w:spacing w:after="100" w:before="100"/>
        <w:jc w:val="center"/>
      </w:pPr>
      <w:r>
        <w:rPr>
          <w:rFonts w:ascii="Calibri" w:cs="Calibri" w:eastAsia="Calibri" w:hAnsi="Calibri"/>
          <w:b/>
          <w:bCs/>
          <w:i/>
          <w:iCs/>
          <w:color w:val="1A5C38"/>
          <w:sz w:val="20"/>
          <w:szCs w:val="20"/>
        </w:rPr>
        <w:t xml:space="preserve">Revenue Leakage = Unit_Price × Discount_Percent × Quantity</w:t>
      </w:r>
    </w:p>
    <w:p>
      <w:pPr>
        <w:spacing w:after="120"/>
        <w:jc w:val="both"/>
      </w:pPr>
      <w:r>
        <w:rPr>
          <w:rFonts w:ascii="Calibri" w:cs="Calibri" w:eastAsia="Calibri" w:hAnsi="Calibri"/>
          <w:color w:val="1A1A1A"/>
          <w:sz w:val="20"/>
          <w:szCs w:val="20"/>
        </w:rPr>
        <w:t xml:space="preserve">Total revenue leakage across completed transactions amounts to £9.43M — marginally exceeding total gross profit of £9.38M. This means that for every pound of gross profit RetailMax earns, it gives away approximately £1.01 in potential revenue through discounting.</w:t>
      </w:r>
    </w:p>
    <w:p>
      <w:pPr>
        <w:pBdr>
          <w:bottom w:val="single" w:color="1A5C38" w:sz="8"/>
        </w:pBdr>
        <w:spacing w:after="120" w:before="360"/>
      </w:pPr>
      <w:r>
        <w:rPr>
          <w:rFonts w:ascii="Calibri" w:cs="Calibri" w:eastAsia="Calibri" w:hAnsi="Calibri"/>
          <w:b/>
          <w:bCs/>
          <w:color w:val="1A5C38"/>
          <w:sz w:val="26"/>
          <w:szCs w:val="26"/>
        </w:rPr>
        <w:t xml:space="preserve">4.3 Margin Impact of Discounting</w:t>
      </w:r>
    </w:p>
    <w:p>
      <w:pPr>
        <w:spacing w:after="120"/>
        <w:jc w:val="both"/>
      </w:pPr>
      <w:r>
        <w:rPr>
          <w:rFonts w:ascii="Calibri" w:cs="Calibri" w:eastAsia="Calibri" w:hAnsi="Calibri"/>
          <w:color w:val="1A1A1A"/>
          <w:sz w:val="20"/>
          <w:szCs w:val="20"/>
        </w:rPr>
        <w:t xml:space="preserve">The impact on gross profit between discounted and non-discounted transactions is stark:</w:t>
      </w:r>
    </w:p>
    <w:p>
      <w:pPr>
        <w:spacing w:after="80"/>
        <w:ind w:left="360"/>
      </w:pPr>
      <w:r>
        <w:rPr>
          <w:rFonts w:ascii="Calibri" w:cs="Calibri" w:eastAsia="Calibri" w:hAnsi="Calibri"/>
          <w:color w:val="1A1A1A"/>
          <w:sz w:val="20"/>
          <w:szCs w:val="20"/>
        </w:rPr>
        <w:t xml:space="preserve">•  Discounted Gross Profit: £9.15M — derived from 16,660 transactions</w:t>
      </w:r>
    </w:p>
    <w:p>
      <w:pPr>
        <w:spacing w:after="80"/>
        <w:ind w:left="360"/>
      </w:pPr>
      <w:r>
        <w:rPr>
          <w:rFonts w:ascii="Calibri" w:cs="Calibri" w:eastAsia="Calibri" w:hAnsi="Calibri"/>
          <w:color w:val="1A1A1A"/>
          <w:sz w:val="20"/>
          <w:szCs w:val="20"/>
        </w:rPr>
        <w:t xml:space="preserve">•  Non-Discounted Gross Profit: £229.89K — derived from approximately 217 transactions</w:t>
      </w:r>
    </w:p>
    <w:p>
      <w:pPr>
        <w:spacing w:after="120"/>
        <w:jc w:val="both"/>
      </w:pPr>
      <w:r>
        <w:rPr>
          <w:rFonts w:ascii="Calibri" w:cs="Calibri" w:eastAsia="Calibri" w:hAnsi="Calibri"/>
          <w:color w:val="1A1A1A"/>
          <w:sz w:val="20"/>
          <w:szCs w:val="20"/>
        </w:rPr>
        <w:t xml:space="preserve">While the discounted transactions generate the vast majority of gross profit in absolute terms (due to volume), the per-transaction profitability of full-price transactions is significantly higher. This highlights the opportunity cost of the current universal discount approach.</w:t>
      </w:r>
    </w:p>
    <w:p>
      <w:pPr>
        <w:pBdr>
          <w:bottom w:val="single" w:color="1A5C38" w:sz="8"/>
        </w:pBdr>
        <w:spacing w:after="120" w:before="360"/>
      </w:pPr>
      <w:r>
        <w:rPr>
          <w:rFonts w:ascii="Calibri" w:cs="Calibri" w:eastAsia="Calibri" w:hAnsi="Calibri"/>
          <w:b/>
          <w:bCs/>
          <w:color w:val="1A5C38"/>
          <w:sz w:val="26"/>
          <w:szCs w:val="26"/>
        </w:rPr>
        <w:t xml:space="preserve">4.4 Discount Distribution by Category</w:t>
      </w:r>
    </w:p>
    <w:p>
      <w:pPr>
        <w:spacing w:after="120"/>
        <w:jc w:val="both"/>
      </w:pPr>
      <w:r>
        <w:rPr>
          <w:rFonts w:ascii="Calibri" w:cs="Calibri" w:eastAsia="Calibri" w:hAnsi="Calibri"/>
          <w:color w:val="1A1A1A"/>
          <w:sz w:val="20"/>
          <w:szCs w:val="20"/>
        </w:rPr>
        <w:t xml:space="preserve">All four product categories show near-identical average discount rates of approximately 20%. This uniform discount application across all categories regardless of margin profile or competitive positioning represents a missed opportunity for differential pricing strategy.</w:t>
      </w:r>
    </w:p>
    <w:p>
      <w:r>
        <w:br w:type="page"/>
      </w:r>
    </w:p>
    <w:p>
      <w:pPr>
        <w:shd w:fill="1A5C38" w:val="clear"/>
        <w:spacing w:after="200" w:before="400"/>
        <w:ind w:left="200"/>
      </w:pPr>
      <w:r>
        <w:rPr>
          <w:rFonts w:ascii="Calibri" w:cs="Calibri" w:eastAsia="Calibri" w:hAnsi="Calibri"/>
          <w:b/>
          <w:bCs/>
          <w:color w:val="FFFFFF"/>
          <w:sz w:val="36"/>
          <w:szCs w:val="36"/>
        </w:rPr>
        <w:t xml:space="preserve">5. Customer Intelligence</w:t>
      </w:r>
    </w:p>
    <w:p>
      <w:pPr>
        <w:pBdr>
          <w:bottom w:val="single" w:color="1A5C38" w:sz="8"/>
        </w:pBdr>
        <w:spacing w:after="120" w:before="360"/>
      </w:pPr>
      <w:r>
        <w:rPr>
          <w:rFonts w:ascii="Calibri" w:cs="Calibri" w:eastAsia="Calibri" w:hAnsi="Calibri"/>
          <w:b/>
          <w:bCs/>
          <w:color w:val="1A5C38"/>
          <w:sz w:val="26"/>
          <w:szCs w:val="26"/>
        </w:rPr>
        <w:t xml:space="preserve">5.1 Customer Base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5,000</w:t>
            </w:r>
          </w:p>
          <w:p>
            <w:pPr>
              <w:spacing w:after="60"/>
              <w:jc w:val="center"/>
            </w:pPr>
            <w:r>
              <w:rPr>
                <w:rFonts w:ascii="Calibri" w:cs="Calibri" w:eastAsia="Calibri" w:hAnsi="Calibri"/>
                <w:color w:val="555555"/>
                <w:sz w:val="16"/>
                <w:szCs w:val="16"/>
              </w:rPr>
              <w:t xml:space="preserve">Total Customers</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4,209</w:t>
            </w:r>
          </w:p>
          <w:p>
            <w:pPr>
              <w:spacing w:after="60"/>
              <w:jc w:val="center"/>
            </w:pPr>
            <w:r>
              <w:rPr>
                <w:rFonts w:ascii="Calibri" w:cs="Calibri" w:eastAsia="Calibri" w:hAnsi="Calibri"/>
                <w:color w:val="555555"/>
                <w:sz w:val="16"/>
                <w:szCs w:val="16"/>
              </w:rPr>
              <w:t xml:space="preserve">Retained Customers</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84.18%</w:t>
            </w:r>
          </w:p>
          <w:p>
            <w:pPr>
              <w:spacing w:after="60"/>
              <w:jc w:val="center"/>
            </w:pPr>
            <w:r>
              <w:rPr>
                <w:rFonts w:ascii="Calibri" w:cs="Calibri" w:eastAsia="Calibri" w:hAnsi="Calibri"/>
                <w:color w:val="555555"/>
                <w:sz w:val="16"/>
                <w:szCs w:val="16"/>
              </w:rPr>
              <w:t xml:space="preserve">Retention Rate</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3.38</w:t>
            </w:r>
          </w:p>
          <w:p>
            <w:pPr>
              <w:spacing w:after="60"/>
              <w:jc w:val="center"/>
            </w:pPr>
            <w:r>
              <w:rPr>
                <w:rFonts w:ascii="Calibri" w:cs="Calibri" w:eastAsia="Calibri" w:hAnsi="Calibri"/>
                <w:color w:val="555555"/>
                <w:sz w:val="16"/>
                <w:szCs w:val="16"/>
              </w:rPr>
              <w:t xml:space="preserve">Avg. Purchases / Customer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£7.52K</w:t>
            </w:r>
          </w:p>
          <w:p>
            <w:pPr>
              <w:spacing w:after="60"/>
              <w:jc w:val="center"/>
            </w:pPr>
            <w:r>
              <w:rPr>
                <w:rFonts w:ascii="Calibri" w:cs="Calibri" w:eastAsia="Calibri" w:hAnsi="Calibri"/>
                <w:color w:val="555555"/>
                <w:sz w:val="16"/>
                <w:szCs w:val="16"/>
              </w:rPr>
              <w:t xml:space="preserve">Avg. Revenue / Customer</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~2,469 (49.4%)</w:t>
            </w:r>
          </w:p>
          <w:p>
            <w:pPr>
              <w:spacing w:after="60"/>
              <w:jc w:val="center"/>
            </w:pPr>
            <w:r>
              <w:rPr>
                <w:rFonts w:ascii="Calibri" w:cs="Calibri" w:eastAsia="Calibri" w:hAnsi="Calibri"/>
                <w:color w:val="555555"/>
                <w:sz w:val="16"/>
                <w:szCs w:val="16"/>
              </w:rPr>
              <w:t xml:space="preserve">Loyalty Members</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~2,531 (50.6%)</w:t>
            </w:r>
          </w:p>
          <w:p>
            <w:pPr>
              <w:spacing w:after="60"/>
              <w:jc w:val="center"/>
            </w:pPr>
            <w:r>
              <w:rPr>
                <w:rFonts w:ascii="Calibri" w:cs="Calibri" w:eastAsia="Calibri" w:hAnsi="Calibri"/>
                <w:color w:val="555555"/>
                <w:sz w:val="16"/>
                <w:szCs w:val="16"/>
              </w:rPr>
              <w:t xml:space="preserve">Non-Members</w:t>
            </w:r>
          </w:p>
        </w:tc>
        <w:tc>
          <w:tcPr>
            <w:tcW w:type="dxa" w:w="2300"/>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M: 49.68%  |  F: 50.32%</w:t>
            </w:r>
          </w:p>
          <w:p>
            <w:pPr>
              <w:spacing w:after="60"/>
              <w:jc w:val="center"/>
            </w:pPr>
            <w:r>
              <w:rPr>
                <w:rFonts w:ascii="Calibri" w:cs="Calibri" w:eastAsia="Calibri" w:hAnsi="Calibri"/>
                <w:color w:val="555555"/>
                <w:sz w:val="16"/>
                <w:szCs w:val="16"/>
              </w:rPr>
              <w:t xml:space="preserve">Gender Split</w:t>
            </w:r>
          </w:p>
        </w:tc>
      </w:tr>
    </w:tbl>
    <w:p>
      <w:pPr>
        <w:spacing w:after="60"/>
      </w:pPr>
      <w:r>
        <w:t xml:space="preserve"/>
      </w:r>
    </w:p>
    <w:p>
      <w:pPr>
        <w:pBdr>
          <w:bottom w:val="single" w:color="1A5C38" w:sz="8"/>
        </w:pBdr>
        <w:spacing w:after="120" w:before="360"/>
      </w:pPr>
      <w:r>
        <w:rPr>
          <w:rFonts w:ascii="Calibri" w:cs="Calibri" w:eastAsia="Calibri" w:hAnsi="Calibri"/>
          <w:b/>
          <w:bCs/>
          <w:color w:val="1A5C38"/>
          <w:sz w:val="26"/>
          <w:szCs w:val="26"/>
        </w:rPr>
        <w:t xml:space="preserve">5.2 Customer Retention &amp; Repeat Purchase Behaviour</w:t>
      </w:r>
    </w:p>
    <w:p>
      <w:pPr>
        <w:spacing w:after="120"/>
        <w:jc w:val="both"/>
      </w:pPr>
      <w:r>
        <w:rPr>
          <w:rFonts w:ascii="Calibri" w:cs="Calibri" w:eastAsia="Calibri" w:hAnsi="Calibri"/>
          <w:color w:val="1A1A1A"/>
          <w:sz w:val="20"/>
          <w:szCs w:val="20"/>
        </w:rPr>
        <w:t xml:space="preserve">With 84.18% of customers having made two or more completed purchases, RetailMax demonstrates strong customer loyalty. The average of 3.38 completed purchases per customer indicates meaningful repeat engagement beyond a single transaction.</w:t>
      </w:r>
    </w:p>
    <w:p>
      <w:pPr>
        <w:spacing w:after="120"/>
        <w:jc w:val="both"/>
      </w:pPr>
      <w:r>
        <w:rPr>
          <w:rFonts w:ascii="Calibri" w:cs="Calibri" w:eastAsia="Calibri" w:hAnsi="Calibri"/>
          <w:color w:val="1A1A1A"/>
          <w:sz w:val="20"/>
          <w:szCs w:val="20"/>
        </w:rPr>
        <w:t xml:space="preserve">This retention rate is a commercial asset. The priority should be increasing purchase frequency among retained customers rather than focusing purely on new customer acquisition.</w:t>
      </w:r>
    </w:p>
    <w:p>
      <w:pPr>
        <w:pBdr>
          <w:bottom w:val="single" w:color="1A5C38" w:sz="8"/>
        </w:pBdr>
        <w:spacing w:after="120" w:before="360"/>
      </w:pPr>
      <w:r>
        <w:rPr>
          <w:rFonts w:ascii="Calibri" w:cs="Calibri" w:eastAsia="Calibri" w:hAnsi="Calibri"/>
          <w:b/>
          <w:bCs/>
          <w:color w:val="1A5C38"/>
          <w:sz w:val="26"/>
          <w:szCs w:val="26"/>
        </w:rPr>
        <w:t xml:space="preserve">5.3 Customer Segmentation</w:t>
      </w:r>
    </w:p>
    <w:p>
      <w:pPr>
        <w:spacing w:after="120"/>
        <w:jc w:val="both"/>
      </w:pPr>
      <w:r>
        <w:rPr>
          <w:rFonts w:ascii="Calibri" w:cs="Calibri" w:eastAsia="Calibri" w:hAnsi="Calibri"/>
          <w:color w:val="1A1A1A"/>
          <w:sz w:val="20"/>
          <w:szCs w:val="20"/>
        </w:rPr>
        <w:t xml:space="preserve">RetailMax customers are classified into four segments. Distribution is almost uniform across all segments — a characteristic of synthetic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A5C38" w:val="clear"/>
          </w:tcPr>
          <w:p>
            <w:pPr>
              <w:jc w:val="center"/>
            </w:pPr>
            <w:r>
              <w:rPr>
                <w:rFonts w:ascii="Calibri" w:cs="Calibri" w:eastAsia="Calibri" w:hAnsi="Calibri"/>
                <w:b/>
                <w:bCs/>
                <w:color w:val="FFFFFF"/>
                <w:sz w:val="18"/>
                <w:szCs w:val="18"/>
              </w:rPr>
              <w:t xml:space="preserve">Segment</w:t>
            </w:r>
          </w:p>
        </w:tc>
        <w:tc>
          <w:tcPr>
            <w:tcW w:type="dxa" w:w="3066"/>
            <w:shd w:fill="1A5C38" w:val="clear"/>
          </w:tcPr>
          <w:p>
            <w:pPr>
              <w:jc w:val="center"/>
            </w:pPr>
            <w:r>
              <w:rPr>
                <w:rFonts w:ascii="Calibri" w:cs="Calibri" w:eastAsia="Calibri" w:hAnsi="Calibri"/>
                <w:b/>
                <w:bCs/>
                <w:color w:val="FFFFFF"/>
                <w:sz w:val="18"/>
                <w:szCs w:val="18"/>
              </w:rPr>
              <w:t xml:space="preserve">Customers</w:t>
            </w:r>
          </w:p>
        </w:tc>
        <w:tc>
          <w:tcPr>
            <w:tcW w:type="dxa" w:w="3066"/>
            <w:shd w:fill="1A5C38" w:val="clear"/>
          </w:tcPr>
          <w:p>
            <w:pPr>
              <w:jc w:val="center"/>
            </w:pPr>
            <w:r>
              <w:rPr>
                <w:rFonts w:ascii="Calibri" w:cs="Calibri" w:eastAsia="Calibri" w:hAnsi="Calibri"/>
                <w:b/>
                <w:bCs/>
                <w:color w:val="FFFFFF"/>
                <w:sz w:val="18"/>
                <w:szCs w:val="18"/>
              </w:rPr>
              <w:t xml:space="preserve">Gross Profit</w:t>
            </w:r>
          </w:p>
        </w:tc>
      </w:tr>
      <w:tr>
        <w:tc>
          <w:tcPr>
            <w:tcW w:type="dxa" w:w="3066"/>
            <w:shd w:fill="EAF4EE" w:val="clear"/>
          </w:tcPr>
          <w:p>
            <w:pPr>
              <w:jc w:val="center"/>
            </w:pPr>
            <w:r>
              <w:rPr>
                <w:rFonts w:ascii="Calibri" w:cs="Calibri" w:eastAsia="Calibri" w:hAnsi="Calibri"/>
                <w:color w:val="1A1A1A"/>
                <w:sz w:val="18"/>
                <w:szCs w:val="18"/>
              </w:rPr>
              <w:t xml:space="preserve">Bronze</w:t>
            </w:r>
          </w:p>
        </w:tc>
        <w:tc>
          <w:tcPr>
            <w:tcW w:type="dxa" w:w="3066"/>
            <w:shd w:fill="EAF4EE" w:val="clear"/>
          </w:tcPr>
          <w:p>
            <w:pPr>
              <w:jc w:val="center"/>
            </w:pPr>
            <w:r>
              <w:rPr>
                <w:rFonts w:ascii="Calibri" w:cs="Calibri" w:eastAsia="Calibri" w:hAnsi="Calibri"/>
                <w:color w:val="1A1A1A"/>
                <w:sz w:val="18"/>
                <w:szCs w:val="18"/>
              </w:rPr>
              <w:t xml:space="preserve">1,286 (25.72%)</w:t>
            </w:r>
          </w:p>
        </w:tc>
        <w:tc>
          <w:tcPr>
            <w:tcW w:type="dxa" w:w="3066"/>
            <w:shd w:fill="EAF4EE" w:val="clear"/>
          </w:tcPr>
          <w:p>
            <w:pPr>
              <w:jc w:val="center"/>
            </w:pPr>
            <w:r>
              <w:rPr>
                <w:rFonts w:ascii="Calibri" w:cs="Calibri" w:eastAsia="Calibri" w:hAnsi="Calibri"/>
                <w:color w:val="1A1A1A"/>
                <w:sz w:val="18"/>
                <w:szCs w:val="18"/>
              </w:rPr>
              <w:t xml:space="preserve">£2.4M</w:t>
            </w:r>
          </w:p>
        </w:tc>
      </w:tr>
      <w:tr>
        <w:tc>
          <w:tcPr>
            <w:tcW w:type="dxa" w:w="3066"/>
            <w:shd w:fill="FFFFFF" w:val="clear"/>
          </w:tcPr>
          <w:p>
            <w:pPr>
              <w:jc w:val="center"/>
            </w:pPr>
            <w:r>
              <w:rPr>
                <w:rFonts w:ascii="Calibri" w:cs="Calibri" w:eastAsia="Calibri" w:hAnsi="Calibri"/>
                <w:color w:val="1A1A1A"/>
                <w:sz w:val="18"/>
                <w:szCs w:val="18"/>
              </w:rPr>
              <w:t xml:space="preserve">Gold</w:t>
            </w:r>
          </w:p>
        </w:tc>
        <w:tc>
          <w:tcPr>
            <w:tcW w:type="dxa" w:w="3066"/>
            <w:shd w:fill="FFFFFF" w:val="clear"/>
          </w:tcPr>
          <w:p>
            <w:pPr>
              <w:jc w:val="center"/>
            </w:pPr>
            <w:r>
              <w:rPr>
                <w:rFonts w:ascii="Calibri" w:cs="Calibri" w:eastAsia="Calibri" w:hAnsi="Calibri"/>
                <w:color w:val="1A1A1A"/>
                <w:sz w:val="18"/>
                <w:szCs w:val="18"/>
              </w:rPr>
              <w:t xml:space="preserve">1,244 (24.88%)</w:t>
            </w:r>
          </w:p>
        </w:tc>
        <w:tc>
          <w:tcPr>
            <w:tcW w:type="dxa" w:w="3066"/>
            <w:shd w:fill="FFFFFF" w:val="clear"/>
          </w:tcPr>
          <w:p>
            <w:pPr>
              <w:jc w:val="center"/>
            </w:pPr>
            <w:r>
              <w:rPr>
                <w:rFonts w:ascii="Calibri" w:cs="Calibri" w:eastAsia="Calibri" w:hAnsi="Calibri"/>
                <w:color w:val="1A1A1A"/>
                <w:sz w:val="18"/>
                <w:szCs w:val="18"/>
              </w:rPr>
              <w:t xml:space="preserve">£2.3M</w:t>
            </w:r>
          </w:p>
        </w:tc>
      </w:tr>
      <w:tr>
        <w:tc>
          <w:tcPr>
            <w:tcW w:type="dxa" w:w="3066"/>
            <w:shd w:fill="EAF4EE" w:val="clear"/>
          </w:tcPr>
          <w:p>
            <w:pPr>
              <w:jc w:val="center"/>
            </w:pPr>
            <w:r>
              <w:rPr>
                <w:rFonts w:ascii="Calibri" w:cs="Calibri" w:eastAsia="Calibri" w:hAnsi="Calibri"/>
                <w:color w:val="1A1A1A"/>
                <w:sz w:val="18"/>
                <w:szCs w:val="18"/>
              </w:rPr>
              <w:t xml:space="preserve">Silver</w:t>
            </w:r>
          </w:p>
        </w:tc>
        <w:tc>
          <w:tcPr>
            <w:tcW w:type="dxa" w:w="3066"/>
            <w:shd w:fill="EAF4EE" w:val="clear"/>
          </w:tcPr>
          <w:p>
            <w:pPr>
              <w:jc w:val="center"/>
            </w:pPr>
            <w:r>
              <w:rPr>
                <w:rFonts w:ascii="Calibri" w:cs="Calibri" w:eastAsia="Calibri" w:hAnsi="Calibri"/>
                <w:color w:val="1A1A1A"/>
                <w:sz w:val="18"/>
                <w:szCs w:val="18"/>
              </w:rPr>
              <w:t xml:space="preserve">1,235 (24.70%)</w:t>
            </w:r>
          </w:p>
        </w:tc>
        <w:tc>
          <w:tcPr>
            <w:tcW w:type="dxa" w:w="3066"/>
            <w:shd w:fill="EAF4EE" w:val="clear"/>
          </w:tcPr>
          <w:p>
            <w:pPr>
              <w:jc w:val="center"/>
            </w:pPr>
            <w:r>
              <w:rPr>
                <w:rFonts w:ascii="Calibri" w:cs="Calibri" w:eastAsia="Calibri" w:hAnsi="Calibri"/>
                <w:color w:val="1A1A1A"/>
                <w:sz w:val="18"/>
                <w:szCs w:val="18"/>
              </w:rPr>
              <w:t xml:space="preserve">£2.3M</w:t>
            </w:r>
          </w:p>
        </w:tc>
      </w:tr>
      <w:tr>
        <w:tc>
          <w:tcPr>
            <w:tcW w:type="dxa" w:w="3066"/>
            <w:shd w:fill="FFFFFF" w:val="clear"/>
          </w:tcPr>
          <w:p>
            <w:pPr>
              <w:jc w:val="center"/>
            </w:pPr>
            <w:r>
              <w:rPr>
                <w:rFonts w:ascii="Calibri" w:cs="Calibri" w:eastAsia="Calibri" w:hAnsi="Calibri"/>
                <w:color w:val="1A1A1A"/>
                <w:sz w:val="18"/>
                <w:szCs w:val="18"/>
              </w:rPr>
              <w:t xml:space="preserve">VIP</w:t>
            </w:r>
          </w:p>
        </w:tc>
        <w:tc>
          <w:tcPr>
            <w:tcW w:type="dxa" w:w="3066"/>
            <w:shd w:fill="FFFFFF" w:val="clear"/>
          </w:tcPr>
          <w:p>
            <w:pPr>
              <w:jc w:val="center"/>
            </w:pPr>
            <w:r>
              <w:rPr>
                <w:rFonts w:ascii="Calibri" w:cs="Calibri" w:eastAsia="Calibri" w:hAnsi="Calibri"/>
                <w:color w:val="1A1A1A"/>
                <w:sz w:val="18"/>
                <w:szCs w:val="18"/>
              </w:rPr>
              <w:t xml:space="preserve">1,235 (24.70%)</w:t>
            </w:r>
          </w:p>
        </w:tc>
        <w:tc>
          <w:tcPr>
            <w:tcW w:type="dxa" w:w="3066"/>
            <w:shd w:fill="FFFFFF" w:val="clear"/>
          </w:tcPr>
          <w:p>
            <w:pPr>
              <w:jc w:val="center"/>
            </w:pPr>
            <w:r>
              <w:rPr>
                <w:rFonts w:ascii="Calibri" w:cs="Calibri" w:eastAsia="Calibri" w:hAnsi="Calibri"/>
                <w:color w:val="1A1A1A"/>
                <w:sz w:val="18"/>
                <w:szCs w:val="18"/>
              </w:rPr>
              <w:t xml:space="preserve">£2.3M</w:t>
            </w:r>
          </w:p>
        </w:tc>
      </w:tr>
    </w:tbl>
    <w:p>
      <w:pPr>
        <w:spacing w:after="60"/>
      </w:pPr>
      <w:r>
        <w:t xml:space="preserve"/>
      </w:r>
    </w:p>
    <w:p>
      <w:pPr>
        <w:pBdr>
          <w:bottom w:val="single" w:color="1A5C38" w:sz="8"/>
        </w:pBdr>
        <w:spacing w:after="120" w:before="360"/>
      </w:pPr>
      <w:r>
        <w:rPr>
          <w:rFonts w:ascii="Calibri" w:cs="Calibri" w:eastAsia="Calibri" w:hAnsi="Calibri"/>
          <w:b/>
          <w:bCs/>
          <w:color w:val="1A5C38"/>
          <w:sz w:val="26"/>
          <w:szCs w:val="26"/>
        </w:rPr>
        <w:t xml:space="preserve">5.4 Geographic Distribution</w:t>
      </w:r>
    </w:p>
    <w:p>
      <w:pPr>
        <w:spacing w:after="120"/>
        <w:jc w:val="both"/>
      </w:pPr>
      <w:r>
        <w:rPr>
          <w:rFonts w:ascii="Calibri" w:cs="Calibri" w:eastAsia="Calibri" w:hAnsi="Calibri"/>
          <w:color w:val="1A1A1A"/>
          <w:sz w:val="20"/>
          <w:szCs w:val="20"/>
        </w:rPr>
        <w:t xml:space="preserve">Customer concentration is highest in the Midlands region (1,275 customers), followed closely by the Unknown region (1,268 — representing missing data), North East (1,234) and North West (1,223). The high volume of Unknown region records (25.36% of the customer base) limits the precision of regional analysis and should be addressed as a data quality priority.</w:t>
      </w:r>
    </w:p>
    <w:p>
      <w:r>
        <w:br w:type="page"/>
      </w:r>
    </w:p>
    <w:p>
      <w:pPr>
        <w:shd w:fill="1A5C38" w:val="clear"/>
        <w:spacing w:after="200" w:before="400"/>
        <w:ind w:left="200"/>
      </w:pPr>
      <w:r>
        <w:rPr>
          <w:rFonts w:ascii="Calibri" w:cs="Calibri" w:eastAsia="Calibri" w:hAnsi="Calibri"/>
          <w:b/>
          <w:bCs/>
          <w:color w:val="FFFFFF"/>
          <w:sz w:val="36"/>
          <w:szCs w:val="36"/>
        </w:rPr>
        <w:t xml:space="preserve">6. Sales Channel Performance</w:t>
      </w:r>
    </w:p>
    <w:p>
      <w:pPr>
        <w:pBdr>
          <w:bottom w:val="single" w:color="1A5C38" w:sz="8"/>
        </w:pBdr>
        <w:spacing w:after="120" w:before="360"/>
      </w:pPr>
      <w:r>
        <w:rPr>
          <w:rFonts w:ascii="Calibri" w:cs="Calibri" w:eastAsia="Calibri" w:hAnsi="Calibri"/>
          <w:b/>
          <w:bCs/>
          <w:color w:val="1A5C38"/>
          <w:sz w:val="26"/>
          <w:szCs w:val="26"/>
        </w:rPr>
        <w:t xml:space="preserve">6.1 Revenue by Channel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£18.51M</w:t>
            </w:r>
          </w:p>
          <w:p>
            <w:pPr>
              <w:spacing w:after="60"/>
              <w:jc w:val="center"/>
            </w:pPr>
            <w:r>
              <w:rPr>
                <w:rFonts w:ascii="Calibri" w:cs="Calibri" w:eastAsia="Calibri" w:hAnsi="Calibri"/>
                <w:color w:val="555555"/>
                <w:sz w:val="16"/>
                <w:szCs w:val="16"/>
              </w:rPr>
              <w:t xml:space="preserve">Online Revenue</w:t>
            </w:r>
          </w:p>
        </w:tc>
        <w:tc>
          <w:tcPr>
            <w:tcW w:type="dxa" w:w="3066"/>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£9.58M</w:t>
            </w:r>
          </w:p>
          <w:p>
            <w:pPr>
              <w:spacing w:after="60"/>
              <w:jc w:val="center"/>
            </w:pPr>
            <w:r>
              <w:rPr>
                <w:rFonts w:ascii="Calibri" w:cs="Calibri" w:eastAsia="Calibri" w:hAnsi="Calibri"/>
                <w:color w:val="555555"/>
                <w:sz w:val="16"/>
                <w:szCs w:val="16"/>
              </w:rPr>
              <w:t xml:space="preserve">Marketplace Revenue</w:t>
            </w:r>
          </w:p>
        </w:tc>
        <w:tc>
          <w:tcPr>
            <w:tcW w:type="dxa" w:w="3066"/>
            <w:tcBorders>
              <w:top w:val="single" w:color="1A5C38" w:sz="4"/>
              <w:left w:val="single" w:color="1A5C38" w:sz="4"/>
              <w:bottom w:val="single" w:color="1A5C38" w:sz="4"/>
              <w:right w:val="single" w:color="1A5C38" w:sz="4"/>
            </w:tcBorders>
            <w:shd w:fill="EAF4EE" w:val="clear"/>
          </w:tcPr>
          <w:p>
            <w:pPr>
              <w:spacing w:after="20" w:before="60"/>
              <w:jc w:val="center"/>
            </w:pPr>
            <w:r>
              <w:rPr>
                <w:rFonts w:ascii="Calibri" w:cs="Calibri" w:eastAsia="Calibri" w:hAnsi="Calibri"/>
                <w:b/>
                <w:bCs/>
                <w:color w:val="1A5C38"/>
                <w:sz w:val="28"/>
                <w:szCs w:val="28"/>
              </w:rPr>
              <w:t xml:space="preserve">£9.52M</w:t>
            </w:r>
          </w:p>
          <w:p>
            <w:pPr>
              <w:spacing w:after="60"/>
              <w:jc w:val="center"/>
            </w:pPr>
            <w:r>
              <w:rPr>
                <w:rFonts w:ascii="Calibri" w:cs="Calibri" w:eastAsia="Calibri" w:hAnsi="Calibri"/>
                <w:color w:val="555555"/>
                <w:sz w:val="16"/>
                <w:szCs w:val="16"/>
              </w:rPr>
              <w:t xml:space="preserve">Store Revenue</w:t>
            </w:r>
          </w:p>
        </w:tc>
      </w:tr>
    </w:tbl>
    <w:p>
      <w:pPr>
        <w:spacing w:after="60"/>
      </w:pPr>
      <w:r>
        <w:t xml:space="preserve"/>
      </w:r>
    </w:p>
    <w:p>
      <w:pPr>
        <w:spacing w:after="120"/>
        <w:jc w:val="both"/>
      </w:pPr>
      <w:r>
        <w:rPr>
          <w:rFonts w:ascii="Calibri" w:cs="Calibri" w:eastAsia="Calibri" w:hAnsi="Calibri"/>
          <w:color w:val="1A1A1A"/>
          <w:sz w:val="20"/>
          <w:szCs w:val="20"/>
        </w:rPr>
        <w:t xml:space="preserve">The Online channel is RetailMax's dominant revenue driver, accounting for 50.11% of total revenue — nearly equal to Store and Marketplace combined. This represents a significant structural shift toward digital commerce that has strategic implications for investment allocation, operational focus and customer experience design.</w:t>
      </w:r>
    </w:p>
    <w:p>
      <w:pPr>
        <w:pBdr>
          <w:bottom w:val="single" w:color="1A5C38" w:sz="8"/>
        </w:pBdr>
        <w:spacing w:after="120" w:before="360"/>
      </w:pPr>
      <w:r>
        <w:rPr>
          <w:rFonts w:ascii="Calibri" w:cs="Calibri" w:eastAsia="Calibri" w:hAnsi="Calibri"/>
          <w:b/>
          <w:bCs/>
          <w:color w:val="1A5C38"/>
          <w:sz w:val="26"/>
          <w:szCs w:val="26"/>
        </w:rPr>
        <w:t xml:space="preserve">6.2 Transaction Volume by Channel</w:t>
      </w:r>
    </w:p>
    <w:p>
      <w:pPr>
        <w:spacing w:after="120"/>
        <w:jc w:val="both"/>
      </w:pPr>
      <w:r>
        <w:rPr>
          <w:rFonts w:ascii="Calibri" w:cs="Calibri" w:eastAsia="Calibri" w:hAnsi="Calibri"/>
          <w:color w:val="1A1A1A"/>
          <w:sz w:val="20"/>
          <w:szCs w:val="20"/>
        </w:rPr>
        <w:t xml:space="preserve">Completed transaction volumes reinforce the Online channel's dominance:</w:t>
      </w:r>
    </w:p>
    <w:p>
      <w:pPr>
        <w:spacing w:after="80"/>
        <w:ind w:left="360"/>
      </w:pPr>
      <w:r>
        <w:rPr>
          <w:rFonts w:ascii="Calibri" w:cs="Calibri" w:eastAsia="Calibri" w:hAnsi="Calibri"/>
          <w:color w:val="1A1A1A"/>
          <w:sz w:val="20"/>
          <w:szCs w:val="20"/>
        </w:rPr>
        <w:t xml:space="preserve">•  Online: approximately 8,300 completed transactions</w:t>
      </w:r>
    </w:p>
    <w:p>
      <w:pPr>
        <w:spacing w:after="80"/>
        <w:ind w:left="360"/>
      </w:pPr>
      <w:r>
        <w:rPr>
          <w:rFonts w:ascii="Calibri" w:cs="Calibri" w:eastAsia="Calibri" w:hAnsi="Calibri"/>
          <w:color w:val="1A1A1A"/>
          <w:sz w:val="20"/>
          <w:szCs w:val="20"/>
        </w:rPr>
        <w:t xml:space="preserve">•  Store: approximately 4,300 completed transactions</w:t>
      </w:r>
    </w:p>
    <w:p>
      <w:pPr>
        <w:spacing w:after="80"/>
        <w:ind w:left="360"/>
      </w:pPr>
      <w:r>
        <w:rPr>
          <w:rFonts w:ascii="Calibri" w:cs="Calibri" w:eastAsia="Calibri" w:hAnsi="Calibri"/>
          <w:color w:val="1A1A1A"/>
          <w:sz w:val="20"/>
          <w:szCs w:val="20"/>
        </w:rPr>
        <w:t xml:space="preserve">•  Marketplace: approximately 4,300 completed transactions</w:t>
      </w:r>
    </w:p>
    <w:p>
      <w:pPr>
        <w:spacing w:after="120"/>
        <w:jc w:val="both"/>
      </w:pPr>
      <w:r>
        <w:rPr>
          <w:rFonts w:ascii="Calibri" w:cs="Calibri" w:eastAsia="Calibri" w:hAnsi="Calibri"/>
          <w:color w:val="1A1A1A"/>
          <w:sz w:val="20"/>
          <w:szCs w:val="20"/>
        </w:rPr>
        <w:t xml:space="preserve">Online processes approximately twice the transaction volume of either physical or marketplace channels. Average transaction values are broadly similar across channels, suggesting the volume difference is driven by customer preference and channel accessibility rather than basket size.</w:t>
      </w:r>
    </w:p>
    <w:p>
      <w:pPr>
        <w:pBdr>
          <w:bottom w:val="single" w:color="1A5C38" w:sz="8"/>
        </w:pBdr>
        <w:spacing w:after="120" w:before="360"/>
      </w:pPr>
      <w:r>
        <w:rPr>
          <w:rFonts w:ascii="Calibri" w:cs="Calibri" w:eastAsia="Calibri" w:hAnsi="Calibri"/>
          <w:b/>
          <w:bCs/>
          <w:color w:val="1A5C38"/>
          <w:sz w:val="26"/>
          <w:szCs w:val="26"/>
        </w:rPr>
        <w:t xml:space="preserve">6.3 Gross Profit by Channel</w:t>
      </w:r>
    </w:p>
    <w:p>
      <w:pPr>
        <w:spacing w:after="80"/>
        <w:ind w:left="360"/>
      </w:pPr>
      <w:r>
        <w:rPr>
          <w:rFonts w:ascii="Calibri" w:cs="Calibri" w:eastAsia="Calibri" w:hAnsi="Calibri"/>
          <w:color w:val="1A1A1A"/>
          <w:sz w:val="20"/>
          <w:szCs w:val="20"/>
        </w:rPr>
        <w:t xml:space="preserve">•  Online: £4.6M gross profit — 49.04% of total</w:t>
      </w:r>
    </w:p>
    <w:p>
      <w:pPr>
        <w:spacing w:after="80"/>
        <w:ind w:left="360"/>
      </w:pPr>
      <w:r>
        <w:rPr>
          <w:rFonts w:ascii="Calibri" w:cs="Calibri" w:eastAsia="Calibri" w:hAnsi="Calibri"/>
          <w:color w:val="1A1A1A"/>
          <w:sz w:val="20"/>
          <w:szCs w:val="20"/>
        </w:rPr>
        <w:t xml:space="preserve">•  Marketplace: £2.4M gross profit — 25.58% of total</w:t>
      </w:r>
    </w:p>
    <w:p>
      <w:pPr>
        <w:spacing w:after="80"/>
        <w:ind w:left="360"/>
      </w:pPr>
      <w:r>
        <w:rPr>
          <w:rFonts w:ascii="Calibri" w:cs="Calibri" w:eastAsia="Calibri" w:hAnsi="Calibri"/>
          <w:color w:val="1A1A1A"/>
          <w:sz w:val="20"/>
          <w:szCs w:val="20"/>
        </w:rPr>
        <w:t xml:space="preserve">•  Store: £2.4M gross profit — 25.58% of total</w:t>
      </w:r>
    </w:p>
    <w:p>
      <w:pPr>
        <w:spacing w:after="120"/>
        <w:jc w:val="both"/>
      </w:pPr>
      <w:r>
        <w:rPr>
          <w:rFonts w:ascii="Calibri" w:cs="Calibri" w:eastAsia="Calibri" w:hAnsi="Calibri"/>
          <w:color w:val="1A1A1A"/>
          <w:sz w:val="20"/>
          <w:szCs w:val="20"/>
        </w:rPr>
        <w:t xml:space="preserve">Gross profit distribution mirrors revenue distribution closely, indicating consistent margin rates across channels. This suggests discounting behaviour is uniform across Online, Store and Marketplace rather than concentrated in one channel.</w:t>
      </w:r>
    </w:p>
    <w:p>
      <w:pPr>
        <w:pBdr>
          <w:bottom w:val="single" w:color="1A5C38" w:sz="8"/>
        </w:pBdr>
        <w:spacing w:after="120" w:before="360"/>
      </w:pPr>
      <w:r>
        <w:rPr>
          <w:rFonts w:ascii="Calibri" w:cs="Calibri" w:eastAsia="Calibri" w:hAnsi="Calibri"/>
          <w:b/>
          <w:bCs/>
          <w:color w:val="1A5C38"/>
          <w:sz w:val="26"/>
          <w:szCs w:val="26"/>
        </w:rPr>
        <w:t xml:space="preserve">6.4 Store-Level Performance</w:t>
      </w:r>
    </w:p>
    <w:p>
      <w:pPr>
        <w:spacing w:after="120"/>
        <w:jc w:val="both"/>
      </w:pPr>
      <w:r>
        <w:rPr>
          <w:rFonts w:ascii="Calibri" w:cs="Calibri" w:eastAsia="Calibri" w:hAnsi="Calibri"/>
          <w:color w:val="1A1A1A"/>
          <w:sz w:val="20"/>
          <w:szCs w:val="20"/>
        </w:rPr>
        <w:t xml:space="preserve">Among individual stores, the top performers by gross profit include Store 39 (£233,241), Store 4 (£233,161) and Store 41 (£208,398). The West region generates the highest total gross profit across stores (£3.2M), followed by North (£2.9M), South (£1.8M) and East (£1.5M).</w:t>
      </w:r>
    </w:p>
    <w:p>
      <w:r>
        <w:br w:type="page"/>
      </w:r>
    </w:p>
    <w:p>
      <w:pPr>
        <w:shd w:fill="1A5C38" w:val="clear"/>
        <w:spacing w:after="200" w:before="400"/>
        <w:ind w:left="200"/>
      </w:pPr>
      <w:r>
        <w:rPr>
          <w:rFonts w:ascii="Calibri" w:cs="Calibri" w:eastAsia="Calibri" w:hAnsi="Calibri"/>
          <w:b/>
          <w:bCs/>
          <w:color w:val="FFFFFF"/>
          <w:sz w:val="36"/>
          <w:szCs w:val="36"/>
        </w:rPr>
        <w:t xml:space="preserve">7. Key Insights</w:t>
      </w:r>
    </w:p>
    <w:p>
      <w:pPr>
        <w:spacing w:after="120"/>
        <w:jc w:val="both"/>
      </w:pPr>
      <w:r>
        <w:rPr>
          <w:rFonts w:ascii="Calibri" w:cs="Calibri" w:eastAsia="Calibri" w:hAnsi="Calibri"/>
          <w:color w:val="1A1A1A"/>
          <w:sz w:val="20"/>
          <w:szCs w:val="20"/>
        </w:rPr>
        <w:t xml:space="preserve">The following six insights represent the most significant analytical findings from this project. Each is derived directly from the data and supported by the KPIs developed in the Power BI dashboard.</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1A5C38" w:val="clear"/>
          </w:tcPr>
          <w:p>
            <w:pPr>
              <w:spacing w:after="80" w:before="80"/>
              <w:jc w:val="center"/>
            </w:pPr>
            <w:r>
              <w:rPr>
                <w:rFonts w:ascii="Calibri" w:cs="Calibri" w:eastAsia="Calibri" w:hAnsi="Calibri"/>
                <w:b/>
                <w:bCs/>
                <w:color w:val="FFFFFF"/>
                <w:sz w:val="22"/>
                <w:szCs w:val="22"/>
              </w:rPr>
              <w:t xml:space="preserve">01</w:t>
            </w:r>
          </w:p>
        </w:tc>
        <w:tc>
          <w:tcPr>
            <w:tcW w:type="dxa" w:w="2200"/>
            <w:shd w:fill="EAF4EE" w:val="clear"/>
          </w:tcPr>
          <w:p>
            <w:pPr>
              <w:spacing w:after="60" w:before="60"/>
              <w:ind w:left="80"/>
            </w:pPr>
            <w:r>
              <w:rPr>
                <w:rFonts w:ascii="Calibri" w:cs="Calibri" w:eastAsia="Calibri" w:hAnsi="Calibri"/>
                <w:b/>
                <w:bCs/>
                <w:color w:val="1A5C38"/>
                <w:sz w:val="19"/>
                <w:szCs w:val="19"/>
              </w:rPr>
              <w:t xml:space="preserve">Revenue Leakage Crisis</w:t>
            </w:r>
          </w:p>
        </w:tc>
        <w:tc>
          <w:tcPr>
            <w:tcW w:type="dxa" w:w="6400"/>
            <w:shd w:fill="EAF4EE" w:val="clear"/>
          </w:tcPr>
          <w:p>
            <w:pPr>
              <w:spacing w:after="60" w:before="60"/>
              <w:ind w:left="80"/>
              <w:jc w:val="both"/>
            </w:pPr>
            <w:r>
              <w:rPr>
                <w:rFonts w:ascii="Calibri" w:cs="Calibri" w:eastAsia="Calibri" w:hAnsi="Calibri"/>
                <w:color w:val="1A1A1A"/>
                <w:sz w:val="18"/>
                <w:szCs w:val="18"/>
              </w:rPr>
              <w:t xml:space="preserve">Total revenue leakage of £9.43M from discounting marginally exceeds total gross profit of £9.38M. RetailMax is effectively giving away in discounts the equivalent of everything it earns in gross profit. This is the single most critical finding in the report.</w:t>
            </w:r>
          </w:p>
        </w:tc>
      </w:tr>
      <w:tr>
        <w:tc>
          <w:tcPr>
            <w:tcW w:type="dxa" w:w="600"/>
            <w:shd w:fill="1A5C38" w:val="clear"/>
          </w:tcPr>
          <w:p>
            <w:pPr>
              <w:spacing w:after="80" w:before="80"/>
              <w:jc w:val="center"/>
            </w:pPr>
            <w:r>
              <w:rPr>
                <w:rFonts w:ascii="Calibri" w:cs="Calibri" w:eastAsia="Calibri" w:hAnsi="Calibri"/>
                <w:b/>
                <w:bCs/>
                <w:color w:val="FFFFFF"/>
                <w:sz w:val="22"/>
                <w:szCs w:val="22"/>
              </w:rPr>
              <w:t xml:space="preserve">02</w:t>
            </w:r>
          </w:p>
        </w:tc>
        <w:tc>
          <w:tcPr>
            <w:tcW w:type="dxa" w:w="2200"/>
            <w:shd w:fill="FFFFFF" w:val="clear"/>
          </w:tcPr>
          <w:p>
            <w:pPr>
              <w:spacing w:after="60" w:before="60"/>
              <w:ind w:left="80"/>
            </w:pPr>
            <w:r>
              <w:rPr>
                <w:rFonts w:ascii="Calibri" w:cs="Calibri" w:eastAsia="Calibri" w:hAnsi="Calibri"/>
                <w:b/>
                <w:bCs/>
                <w:color w:val="1A5C38"/>
                <w:sz w:val="19"/>
                <w:szCs w:val="19"/>
              </w:rPr>
              <w:t xml:space="preserve">Near-Universal Discounting</w:t>
            </w:r>
          </w:p>
        </w:tc>
        <w:tc>
          <w:tcPr>
            <w:tcW w:type="dxa" w:w="6400"/>
            <w:shd w:fill="FFFFFF" w:val="clear"/>
          </w:tcPr>
          <w:p>
            <w:pPr>
              <w:spacing w:after="60" w:before="60"/>
              <w:ind w:left="80"/>
              <w:jc w:val="both"/>
            </w:pPr>
            <w:r>
              <w:rPr>
                <w:rFonts w:ascii="Calibri" w:cs="Calibri" w:eastAsia="Calibri" w:hAnsi="Calibri"/>
                <w:color w:val="1A1A1A"/>
                <w:sz w:val="18"/>
                <w:szCs w:val="18"/>
              </w:rPr>
              <w:t xml:space="preserve">98.71% of all completed transactions include a discount. Only approximately 217 transactions — 1.29% — occurred at full price. This indicates discounting has ceased to be a promotional tool and has become the default pricing model, removing its commercial effectiveness entirely.</w:t>
            </w:r>
          </w:p>
        </w:tc>
      </w:tr>
      <w:tr>
        <w:tc>
          <w:tcPr>
            <w:tcW w:type="dxa" w:w="600"/>
            <w:shd w:fill="1A5C38" w:val="clear"/>
          </w:tcPr>
          <w:p>
            <w:pPr>
              <w:spacing w:after="80" w:before="80"/>
              <w:jc w:val="center"/>
            </w:pPr>
            <w:r>
              <w:rPr>
                <w:rFonts w:ascii="Calibri" w:cs="Calibri" w:eastAsia="Calibri" w:hAnsi="Calibri"/>
                <w:b/>
                <w:bCs/>
                <w:color w:val="FFFFFF"/>
                <w:sz w:val="22"/>
                <w:szCs w:val="22"/>
              </w:rPr>
              <w:t xml:space="preserve">03</w:t>
            </w:r>
          </w:p>
        </w:tc>
        <w:tc>
          <w:tcPr>
            <w:tcW w:type="dxa" w:w="2200"/>
            <w:shd w:fill="EAF4EE" w:val="clear"/>
          </w:tcPr>
          <w:p>
            <w:pPr>
              <w:spacing w:after="60" w:before="60"/>
              <w:ind w:left="80"/>
            </w:pPr>
            <w:r>
              <w:rPr>
                <w:rFonts w:ascii="Calibri" w:cs="Calibri" w:eastAsia="Calibri" w:hAnsi="Calibri"/>
                <w:b/>
                <w:bCs/>
                <w:color w:val="1A5C38"/>
                <w:sz w:val="19"/>
                <w:szCs w:val="19"/>
              </w:rPr>
              <w:t xml:space="preserve">Online Channel Dominance</w:t>
            </w:r>
          </w:p>
        </w:tc>
        <w:tc>
          <w:tcPr>
            <w:tcW w:type="dxa" w:w="6400"/>
            <w:shd w:fill="EAF4EE" w:val="clear"/>
          </w:tcPr>
          <w:p>
            <w:pPr>
              <w:spacing w:after="60" w:before="60"/>
              <w:ind w:left="80"/>
              <w:jc w:val="both"/>
            </w:pPr>
            <w:r>
              <w:rPr>
                <w:rFonts w:ascii="Calibri" w:cs="Calibri" w:eastAsia="Calibri" w:hAnsi="Calibri"/>
                <w:color w:val="1A1A1A"/>
                <w:sz w:val="18"/>
                <w:szCs w:val="18"/>
              </w:rPr>
              <w:t xml:space="preserve">The Online channel contributes 50.11% of total revenue and processes approximately double the transactions of Store or Marketplace. It is RetailMax's most commercially significant channel by every metric and should be the primary focus of digital investment and optimisation.</w:t>
            </w:r>
          </w:p>
        </w:tc>
      </w:tr>
      <w:tr>
        <w:tc>
          <w:tcPr>
            <w:tcW w:type="dxa" w:w="600"/>
            <w:shd w:fill="1A5C38" w:val="clear"/>
          </w:tcPr>
          <w:p>
            <w:pPr>
              <w:spacing w:after="80" w:before="80"/>
              <w:jc w:val="center"/>
            </w:pPr>
            <w:r>
              <w:rPr>
                <w:rFonts w:ascii="Calibri" w:cs="Calibri" w:eastAsia="Calibri" w:hAnsi="Calibri"/>
                <w:b/>
                <w:bCs/>
                <w:color w:val="FFFFFF"/>
                <w:sz w:val="22"/>
                <w:szCs w:val="22"/>
              </w:rPr>
              <w:t xml:space="preserve">04</w:t>
            </w:r>
          </w:p>
        </w:tc>
        <w:tc>
          <w:tcPr>
            <w:tcW w:type="dxa" w:w="2200"/>
            <w:shd w:fill="FFFFFF" w:val="clear"/>
          </w:tcPr>
          <w:p>
            <w:pPr>
              <w:spacing w:after="60" w:before="60"/>
              <w:ind w:left="80"/>
            </w:pPr>
            <w:r>
              <w:rPr>
                <w:rFonts w:ascii="Calibri" w:cs="Calibri" w:eastAsia="Calibri" w:hAnsi="Calibri"/>
                <w:b/>
                <w:bCs/>
                <w:color w:val="1A5C38"/>
                <w:sz w:val="19"/>
                <w:szCs w:val="19"/>
              </w:rPr>
              <w:t xml:space="preserve">Strong But Underleveraged Retention</w:t>
            </w:r>
          </w:p>
        </w:tc>
        <w:tc>
          <w:tcPr>
            <w:tcW w:type="dxa" w:w="6400"/>
            <w:shd w:fill="FFFFFF" w:val="clear"/>
          </w:tcPr>
          <w:p>
            <w:pPr>
              <w:spacing w:after="60" w:before="60"/>
              <w:ind w:left="80"/>
              <w:jc w:val="both"/>
            </w:pPr>
            <w:r>
              <w:rPr>
                <w:rFonts w:ascii="Calibri" w:cs="Calibri" w:eastAsia="Calibri" w:hAnsi="Calibri"/>
                <w:color w:val="1A1A1A"/>
                <w:sz w:val="18"/>
                <w:szCs w:val="18"/>
              </w:rPr>
              <w:t xml:space="preserve">84.18% customer retention with an average of 3.38 purchases per customer represents a strong loyalty foundation. However, the combination of modest revenue growth and heavy discounting suggests retained customers are being rewarded with discounts rather than being converted into higher-value full-price purchasers.</w:t>
            </w:r>
          </w:p>
        </w:tc>
      </w:tr>
      <w:tr>
        <w:tc>
          <w:tcPr>
            <w:tcW w:type="dxa" w:w="600"/>
            <w:shd w:fill="1A5C38" w:val="clear"/>
          </w:tcPr>
          <w:p>
            <w:pPr>
              <w:spacing w:after="80" w:before="80"/>
              <w:jc w:val="center"/>
            </w:pPr>
            <w:r>
              <w:rPr>
                <w:rFonts w:ascii="Calibri" w:cs="Calibri" w:eastAsia="Calibri" w:hAnsi="Calibri"/>
                <w:b/>
                <w:bCs/>
                <w:color w:val="FFFFFF"/>
                <w:sz w:val="22"/>
                <w:szCs w:val="22"/>
              </w:rPr>
              <w:t xml:space="preserve">05</w:t>
            </w:r>
          </w:p>
        </w:tc>
        <w:tc>
          <w:tcPr>
            <w:tcW w:type="dxa" w:w="2200"/>
            <w:shd w:fill="EAF4EE" w:val="clear"/>
          </w:tcPr>
          <w:p>
            <w:pPr>
              <w:spacing w:after="60" w:before="60"/>
              <w:ind w:left="80"/>
            </w:pPr>
            <w:r>
              <w:rPr>
                <w:rFonts w:ascii="Calibri" w:cs="Calibri" w:eastAsia="Calibri" w:hAnsi="Calibri"/>
                <w:b/>
                <w:bCs/>
                <w:color w:val="1A5C38"/>
                <w:sz w:val="19"/>
                <w:szCs w:val="19"/>
              </w:rPr>
              <w:t xml:space="preserve">Suppressed Revenue Growth</w:t>
            </w:r>
          </w:p>
        </w:tc>
        <w:tc>
          <w:tcPr>
            <w:tcW w:type="dxa" w:w="6400"/>
            <w:shd w:fill="EAF4EE" w:val="clear"/>
          </w:tcPr>
          <w:p>
            <w:pPr>
              <w:spacing w:after="60" w:before="60"/>
              <w:ind w:left="80"/>
              <w:jc w:val="both"/>
            </w:pPr>
            <w:r>
              <w:rPr>
                <w:rFonts w:ascii="Calibri" w:cs="Calibri" w:eastAsia="Calibri" w:hAnsi="Calibri"/>
                <w:color w:val="1A1A1A"/>
                <w:sz w:val="18"/>
                <w:szCs w:val="18"/>
              </w:rPr>
              <w:t xml:space="preserve">Year-on-year revenue growth of 0.19% (2024) and 1.54% (2025) is minimal relative to the transaction volume generated. The primary suppressor is the discounting strategy — high volumes are not translating into proportional revenue growth because a significant portion of potential revenue is given away at the point of sale.</w:t>
            </w:r>
          </w:p>
        </w:tc>
      </w:tr>
      <w:tr>
        <w:tc>
          <w:tcPr>
            <w:tcW w:type="dxa" w:w="600"/>
            <w:shd w:fill="1A5C38" w:val="clear"/>
          </w:tcPr>
          <w:p>
            <w:pPr>
              <w:spacing w:after="80" w:before="80"/>
              <w:jc w:val="center"/>
            </w:pPr>
            <w:r>
              <w:rPr>
                <w:rFonts w:ascii="Calibri" w:cs="Calibri" w:eastAsia="Calibri" w:hAnsi="Calibri"/>
                <w:b/>
                <w:bCs/>
                <w:color w:val="FFFFFF"/>
                <w:sz w:val="22"/>
                <w:szCs w:val="22"/>
              </w:rPr>
              <w:t xml:space="preserve">06</w:t>
            </w:r>
          </w:p>
        </w:tc>
        <w:tc>
          <w:tcPr>
            <w:tcW w:type="dxa" w:w="2200"/>
            <w:shd w:fill="FFFFFF" w:val="clear"/>
          </w:tcPr>
          <w:p>
            <w:pPr>
              <w:spacing w:after="60" w:before="60"/>
              <w:ind w:left="80"/>
            </w:pPr>
            <w:r>
              <w:rPr>
                <w:rFonts w:ascii="Calibri" w:cs="Calibri" w:eastAsia="Calibri" w:hAnsi="Calibri"/>
                <w:b/>
                <w:bCs/>
                <w:color w:val="1A5C38"/>
                <w:sz w:val="19"/>
                <w:szCs w:val="19"/>
              </w:rPr>
              <w:t xml:space="preserve">Undifferentiated Category Strategy</w:t>
            </w:r>
          </w:p>
        </w:tc>
        <w:tc>
          <w:tcPr>
            <w:tcW w:type="dxa" w:w="6400"/>
            <w:shd w:fill="FFFFFF" w:val="clear"/>
          </w:tcPr>
          <w:p>
            <w:pPr>
              <w:spacing w:after="60" w:before="60"/>
              <w:ind w:left="80"/>
              <w:jc w:val="both"/>
            </w:pPr>
            <w:r>
              <w:rPr>
                <w:rFonts w:ascii="Calibri" w:cs="Calibri" w:eastAsia="Calibri" w:hAnsi="Calibri"/>
                <w:color w:val="1A1A1A"/>
                <w:sz w:val="18"/>
                <w:szCs w:val="18"/>
              </w:rPr>
              <w:t xml:space="preserve">All four product categories show near-identical revenue contributions (23–27%) and gross profit margins. While diversity is a strength, the uniformity suggests a lack of deliberate category prioritisation. Premium categories such as Electronics could likely support higher margins and receive targeted pricing investment.</w:t>
            </w:r>
          </w:p>
        </w:tc>
      </w:tr>
    </w:tbl>
    <w:p>
      <w:r>
        <w:br w:type="page"/>
      </w:r>
    </w:p>
    <w:p>
      <w:pPr>
        <w:shd w:fill="1A5C38" w:val="clear"/>
        <w:spacing w:after="200" w:before="400"/>
        <w:ind w:left="200"/>
      </w:pPr>
      <w:r>
        <w:rPr>
          <w:rFonts w:ascii="Calibri" w:cs="Calibri" w:eastAsia="Calibri" w:hAnsi="Calibri"/>
          <w:b/>
          <w:bCs/>
          <w:color w:val="FFFFFF"/>
          <w:sz w:val="36"/>
          <w:szCs w:val="36"/>
        </w:rPr>
        <w:t xml:space="preserve">8. Strategic Recommendations</w:t>
      </w:r>
    </w:p>
    <w:p>
      <w:pPr>
        <w:spacing w:after="120"/>
        <w:jc w:val="both"/>
      </w:pPr>
      <w:r>
        <w:rPr>
          <w:rFonts w:ascii="Calibri" w:cs="Calibri" w:eastAsia="Calibri" w:hAnsi="Calibri"/>
          <w:color w:val="1A1A1A"/>
          <w:sz w:val="20"/>
          <w:szCs w:val="20"/>
        </w:rPr>
        <w:t xml:space="preserve">The following five recommendations are grounded in the analytical findings above. Each includes a recommended action and projected business impact based on the data.</w:t>
      </w:r>
    </w:p>
    <w:p>
      <w:pPr>
        <w:spacing w:after="60"/>
      </w:pPr>
      <w:r>
        <w:t xml:space="preserve"/>
      </w:r>
    </w:p>
    <w:p>
      <w:pPr>
        <w:shd w:fill="1A5C38" w:val="clear"/>
        <w:spacing w:after="0" w:before="200"/>
        <w:ind w:left="0"/>
      </w:pPr>
      <w:r>
        <w:rPr>
          <w:rFonts w:ascii="Calibri" w:cs="Calibri" w:eastAsia="Calibri" w:hAnsi="Calibri"/>
          <w:b/>
          <w:bCs/>
          <w:color w:val="FFFFFF"/>
          <w:sz w:val="22"/>
          <w:szCs w:val="22"/>
          <w:highlight w:val="none"/>
          <w:highlightCs w:val="none"/>
        </w:rPr>
        <w:t xml:space="preserve">  01  </w:t>
      </w:r>
      <w:r>
        <w:rPr>
          <w:rFonts w:ascii="Calibri" w:cs="Calibri" w:eastAsia="Calibri" w:hAnsi="Calibri"/>
          <w:b/>
          <w:bCs/>
          <w:color w:val="FFFFFF"/>
          <w:sz w:val="22"/>
          <w:szCs w:val="22"/>
        </w:rPr>
        <w:t xml:space="preserve">  Restructure the Discounting Strategy</w:t>
      </w:r>
    </w:p>
    <w:p>
      <w:pPr>
        <w:spacing w:after="40" w:before="100"/>
      </w:pPr>
      <w:r>
        <w:rPr>
          <w:rFonts w:ascii="Calibri" w:cs="Calibri" w:eastAsia="Calibri" w:hAnsi="Calibri"/>
          <w:b/>
          <w:bCs/>
          <w:color w:val="1A5C38"/>
          <w:sz w:val="20"/>
          <w:szCs w:val="20"/>
        </w:rPr>
        <w:t xml:space="preserve">Business Context</w:t>
      </w:r>
    </w:p>
    <w:p>
      <w:pPr>
        <w:spacing w:after="80"/>
        <w:jc w:val="both"/>
      </w:pPr>
      <w:r>
        <w:rPr>
          <w:rFonts w:ascii="Calibri" w:cs="Calibri" w:eastAsia="Calibri" w:hAnsi="Calibri"/>
          <w:color w:val="1A1A1A"/>
          <w:sz w:val="19"/>
          <w:szCs w:val="19"/>
        </w:rPr>
        <w:t xml:space="preserve">The current 98.71% discount utilisation rate and £9.43M revenue leakage represent an unsustainable pricing approach. Discounting at near-universal levels removes the commercial incentive for customers to purchase at full price and actively suppresses gross profit margin.</w:t>
      </w:r>
    </w:p>
    <w:p>
      <w:pPr>
        <w:spacing w:after="40" w:before="80"/>
      </w:pPr>
      <w:r>
        <w:rPr>
          <w:rFonts w:ascii="Calibri" w:cs="Calibri" w:eastAsia="Calibri" w:hAnsi="Calibri"/>
          <w:b/>
          <w:bCs/>
          <w:color w:val="1A5C38"/>
          <w:sz w:val="20"/>
          <w:szCs w:val="20"/>
        </w:rPr>
        <w:t xml:space="preserve">Recommended Action</w:t>
      </w:r>
    </w:p>
    <w:p>
      <w:pPr>
        <w:spacing w:after="80"/>
        <w:jc w:val="both"/>
      </w:pPr>
      <w:r>
        <w:rPr>
          <w:rFonts w:ascii="Calibri" w:cs="Calibri" w:eastAsia="Calibri" w:hAnsi="Calibri"/>
          <w:color w:val="1A1A1A"/>
          <w:sz w:val="19"/>
          <w:szCs w:val="19"/>
        </w:rPr>
        <w:t xml:space="preserve">Introduce a tiered discounting framework. Reserve discounts of 15–20% exclusively for loyalty programme members and VIP/Gold customer segments. Cap general promotional discounts at 5–8% for standard transactions. Eliminate blanket discounting on product launches — use full-price limited availability as a value signal. Introduce time-limited flash sales rather than permanent discount levels to restore the perception of full price as the norm.</w:t>
      </w:r>
    </w:p>
    <w:p>
      <w:pPr>
        <w:spacing w:after="40" w:before="80"/>
      </w:pPr>
      <w:r>
        <w:rPr>
          <w:rFonts w:ascii="Calibri" w:cs="Calibri" w:eastAsia="Calibri" w:hAnsi="Calibri"/>
          <w:b/>
          <w:bCs/>
          <w:color w:val="F0A500"/>
          <w:sz w:val="20"/>
          <w:szCs w:val="20"/>
        </w:rPr>
        <w:t xml:space="preserve">Projected Business Impact</w:t>
      </w:r>
    </w:p>
    <w:p>
      <w:pPr>
        <w:pBdr>
          <w:left w:val="single" w:color="F0A500" w:sz="12"/>
        </w:pBdr>
        <w:shd w:fill="FFF8E6" w:val="clear"/>
        <w:spacing w:after="40"/>
        <w:ind w:left="200"/>
        <w:jc w:val="both"/>
      </w:pPr>
      <w:r>
        <w:rPr>
          <w:rFonts w:ascii="Calibri" w:cs="Calibri" w:eastAsia="Calibri" w:hAnsi="Calibri"/>
          <w:color w:val="1A1A1A"/>
          <w:sz w:val="19"/>
          <w:szCs w:val="19"/>
        </w:rPr>
        <w:t xml:space="preserve">Reducing the average effective discount rate by 30% could recover approximately £2.8M in annual gross profit — representing a potential 30% improvement on current gross profit without any increase in transaction volume. Even a 10% reduction in discount frequency could yield approximately £940K in additional gross profit annually.</w:t>
      </w:r>
    </w:p>
    <w:p>
      <w:pPr>
        <w:spacing w:after="60"/>
      </w:pPr>
      <w:r>
        <w:t xml:space="preserve"/>
      </w:r>
    </w:p>
    <w:p>
      <w:pPr>
        <w:shd w:fill="1A5C38" w:val="clear"/>
        <w:spacing w:after="0" w:before="200"/>
        <w:ind w:left="0"/>
      </w:pPr>
      <w:r>
        <w:rPr>
          <w:rFonts w:ascii="Calibri" w:cs="Calibri" w:eastAsia="Calibri" w:hAnsi="Calibri"/>
          <w:b/>
          <w:bCs/>
          <w:color w:val="FFFFFF"/>
          <w:sz w:val="22"/>
          <w:szCs w:val="22"/>
          <w:highlight w:val="none"/>
          <w:highlightCs w:val="none"/>
        </w:rPr>
        <w:t xml:space="preserve">  02  </w:t>
      </w:r>
      <w:r>
        <w:rPr>
          <w:rFonts w:ascii="Calibri" w:cs="Calibri" w:eastAsia="Calibri" w:hAnsi="Calibri"/>
          <w:b/>
          <w:bCs/>
          <w:color w:val="FFFFFF"/>
          <w:sz w:val="22"/>
          <w:szCs w:val="22"/>
        </w:rPr>
        <w:t xml:space="preserve">  Prioritise Online Channel Investment</w:t>
      </w:r>
    </w:p>
    <w:p>
      <w:pPr>
        <w:spacing w:after="40" w:before="100"/>
      </w:pPr>
      <w:r>
        <w:rPr>
          <w:rFonts w:ascii="Calibri" w:cs="Calibri" w:eastAsia="Calibri" w:hAnsi="Calibri"/>
          <w:b/>
          <w:bCs/>
          <w:color w:val="1A5C38"/>
          <w:sz w:val="20"/>
          <w:szCs w:val="20"/>
        </w:rPr>
        <w:t xml:space="preserve">Business Context</w:t>
      </w:r>
    </w:p>
    <w:p>
      <w:pPr>
        <w:spacing w:after="80"/>
        <w:jc w:val="both"/>
      </w:pPr>
      <w:r>
        <w:rPr>
          <w:rFonts w:ascii="Calibri" w:cs="Calibri" w:eastAsia="Calibri" w:hAnsi="Calibri"/>
          <w:color w:val="1A1A1A"/>
          <w:sz w:val="19"/>
          <w:szCs w:val="19"/>
        </w:rPr>
        <w:t xml:space="preserve">The Online channel generates 50.11% of total revenue and processes double the transactions of any other channel. Despite this dominance, the channel likely receives proportional rather than priority investment, limiting its growth potential.</w:t>
      </w:r>
    </w:p>
    <w:p>
      <w:pPr>
        <w:spacing w:after="40" w:before="80"/>
      </w:pPr>
      <w:r>
        <w:rPr>
          <w:rFonts w:ascii="Calibri" w:cs="Calibri" w:eastAsia="Calibri" w:hAnsi="Calibri"/>
          <w:b/>
          <w:bCs/>
          <w:color w:val="1A5C38"/>
          <w:sz w:val="20"/>
          <w:szCs w:val="20"/>
        </w:rPr>
        <w:t xml:space="preserve">Recommended Action</w:t>
      </w:r>
    </w:p>
    <w:p>
      <w:pPr>
        <w:spacing w:after="80"/>
        <w:jc w:val="both"/>
      </w:pPr>
      <w:r>
        <w:rPr>
          <w:rFonts w:ascii="Calibri" w:cs="Calibri" w:eastAsia="Calibri" w:hAnsi="Calibri"/>
          <w:color w:val="1A1A1A"/>
          <w:sz w:val="19"/>
          <w:szCs w:val="19"/>
        </w:rPr>
        <w:t xml:space="preserve">Allocate a disproportionate share of marketing, technology and fulfilment investment to the Online channel relative to its current share. Invest in search engine optimisation, paid digital acquisition, personalised product recommendation engines, and frictionless checkout optimisation. Develop an online-exclusive loyalty tier to further concentrate high-value customer activity in the digital channel.</w:t>
      </w:r>
    </w:p>
    <w:p>
      <w:pPr>
        <w:spacing w:after="40" w:before="80"/>
      </w:pPr>
      <w:r>
        <w:rPr>
          <w:rFonts w:ascii="Calibri" w:cs="Calibri" w:eastAsia="Calibri" w:hAnsi="Calibri"/>
          <w:b/>
          <w:bCs/>
          <w:color w:val="F0A500"/>
          <w:sz w:val="20"/>
          <w:szCs w:val="20"/>
        </w:rPr>
        <w:t xml:space="preserve">Projected Business Impact</w:t>
      </w:r>
    </w:p>
    <w:p>
      <w:pPr>
        <w:pBdr>
          <w:left w:val="single" w:color="F0A500" w:sz="12"/>
        </w:pBdr>
        <w:shd w:fill="FFF8E6" w:val="clear"/>
        <w:spacing w:after="40"/>
        <w:ind w:left="200"/>
        <w:jc w:val="both"/>
      </w:pPr>
      <w:r>
        <w:rPr>
          <w:rFonts w:ascii="Calibri" w:cs="Calibri" w:eastAsia="Calibri" w:hAnsi="Calibri"/>
          <w:color w:val="1A1A1A"/>
          <w:sz w:val="19"/>
          <w:szCs w:val="19"/>
        </w:rPr>
        <w:t xml:space="preserve">Increasing Online channel conversion rate by 5% would generate approximately £925K in additional revenue based on current transaction volumes and average transaction values. A 10% improvement in average online basket size would add approximately £1.85M to Online revenue annually.</w:t>
      </w:r>
    </w:p>
    <w:p>
      <w:pPr>
        <w:spacing w:after="60"/>
      </w:pPr>
      <w:r>
        <w:t xml:space="preserve"/>
      </w:r>
    </w:p>
    <w:p>
      <w:pPr>
        <w:shd w:fill="1A5C38" w:val="clear"/>
        <w:spacing w:after="0" w:before="200"/>
        <w:ind w:left="0"/>
      </w:pPr>
      <w:r>
        <w:rPr>
          <w:rFonts w:ascii="Calibri" w:cs="Calibri" w:eastAsia="Calibri" w:hAnsi="Calibri"/>
          <w:b/>
          <w:bCs/>
          <w:color w:val="FFFFFF"/>
          <w:sz w:val="22"/>
          <w:szCs w:val="22"/>
          <w:highlight w:val="none"/>
          <w:highlightCs w:val="none"/>
        </w:rPr>
        <w:t xml:space="preserve">  03  </w:t>
      </w:r>
      <w:r>
        <w:rPr>
          <w:rFonts w:ascii="Calibri" w:cs="Calibri" w:eastAsia="Calibri" w:hAnsi="Calibri"/>
          <w:b/>
          <w:bCs/>
          <w:color w:val="FFFFFF"/>
          <w:sz w:val="22"/>
          <w:szCs w:val="22"/>
        </w:rPr>
        <w:t xml:space="preserve">  Activate the Retained Customer Base for Higher Frequency</w:t>
      </w:r>
    </w:p>
    <w:p>
      <w:pPr>
        <w:spacing w:after="40" w:before="100"/>
      </w:pPr>
      <w:r>
        <w:rPr>
          <w:rFonts w:ascii="Calibri" w:cs="Calibri" w:eastAsia="Calibri" w:hAnsi="Calibri"/>
          <w:b/>
          <w:bCs/>
          <w:color w:val="1A5C38"/>
          <w:sz w:val="20"/>
          <w:szCs w:val="20"/>
        </w:rPr>
        <w:t xml:space="preserve">Business Context</w:t>
      </w:r>
    </w:p>
    <w:p>
      <w:pPr>
        <w:spacing w:after="80"/>
        <w:jc w:val="both"/>
      </w:pPr>
      <w:r>
        <w:rPr>
          <w:rFonts w:ascii="Calibri" w:cs="Calibri" w:eastAsia="Calibri" w:hAnsi="Calibri"/>
          <w:color w:val="1A1A1A"/>
          <w:sz w:val="19"/>
          <w:szCs w:val="19"/>
        </w:rPr>
        <w:t xml:space="preserve">RetailMax retains 84.18% of its customers and achieves an average of 3.38 purchases per customer. This is a strong foundation. However, revenue growth is only 1.54% annually, suggesting retained customers are not increasing their spending meaningfully over time.</w:t>
      </w:r>
    </w:p>
    <w:p>
      <w:pPr>
        <w:spacing w:after="40" w:before="80"/>
      </w:pPr>
      <w:r>
        <w:rPr>
          <w:rFonts w:ascii="Calibri" w:cs="Calibri" w:eastAsia="Calibri" w:hAnsi="Calibri"/>
          <w:b/>
          <w:bCs/>
          <w:color w:val="1A5C38"/>
          <w:sz w:val="20"/>
          <w:szCs w:val="20"/>
        </w:rPr>
        <w:t xml:space="preserve">Recommended Action</w:t>
      </w:r>
    </w:p>
    <w:p>
      <w:pPr>
        <w:spacing w:after="80"/>
        <w:jc w:val="both"/>
      </w:pPr>
      <w:r>
        <w:rPr>
          <w:rFonts w:ascii="Calibri" w:cs="Calibri" w:eastAsia="Calibri" w:hAnsi="Calibri"/>
          <w:color w:val="1A1A1A"/>
          <w:sz w:val="19"/>
          <w:szCs w:val="19"/>
        </w:rPr>
        <w:t xml:space="preserve">Introduce purchase frequency milestone rewards within the loyalty programme — for example, bonus rewards at 5, 8 and 12 annual purchases. Deploy personalised post-purchase re-engagement campaigns triggered 30–60 days after each transaction. Create VIP early-access events for new product launches to increase purchase frequency among the highest-value segments. Develop a cross-category recommendation engine to encourage customers to purchase across multiple categories.</w:t>
      </w:r>
    </w:p>
    <w:p>
      <w:pPr>
        <w:spacing w:after="40" w:before="80"/>
      </w:pPr>
      <w:r>
        <w:rPr>
          <w:rFonts w:ascii="Calibri" w:cs="Calibri" w:eastAsia="Calibri" w:hAnsi="Calibri"/>
          <w:b/>
          <w:bCs/>
          <w:color w:val="F0A500"/>
          <w:sz w:val="20"/>
          <w:szCs w:val="20"/>
        </w:rPr>
        <w:t xml:space="preserve">Projected Business Impact</w:t>
      </w:r>
    </w:p>
    <w:p>
      <w:pPr>
        <w:pBdr>
          <w:left w:val="single" w:color="F0A500" w:sz="12"/>
        </w:pBdr>
        <w:shd w:fill="FFF8E6" w:val="clear"/>
        <w:spacing w:after="40"/>
        <w:ind w:left="200"/>
        <w:jc w:val="both"/>
      </w:pPr>
      <w:r>
        <w:rPr>
          <w:rFonts w:ascii="Calibri" w:cs="Calibri" w:eastAsia="Calibri" w:hAnsi="Calibri"/>
          <w:color w:val="1A1A1A"/>
          <w:sz w:val="19"/>
          <w:szCs w:val="19"/>
        </w:rPr>
        <w:t xml:space="preserve">Increasing average purchases per customer from 3.38 to 4.0 — a 18% improvement — could generate approximately £3.7M in additional annual revenue by activating the existing retained base more effectively. This is achievable through CRM investment alone without new customer acquisition cost.</w:t>
      </w:r>
    </w:p>
    <w:p>
      <w:pPr>
        <w:spacing w:after="60"/>
      </w:pPr>
      <w:r>
        <w:t xml:space="preserve"/>
      </w:r>
    </w:p>
    <w:p>
      <w:pPr>
        <w:shd w:fill="1A5C38" w:val="clear"/>
        <w:spacing w:after="0" w:before="200"/>
        <w:ind w:left="0"/>
      </w:pPr>
      <w:r>
        <w:rPr>
          <w:rFonts w:ascii="Calibri" w:cs="Calibri" w:eastAsia="Calibri" w:hAnsi="Calibri"/>
          <w:b/>
          <w:bCs/>
          <w:color w:val="FFFFFF"/>
          <w:sz w:val="22"/>
          <w:szCs w:val="22"/>
          <w:highlight w:val="none"/>
          <w:highlightCs w:val="none"/>
        </w:rPr>
        <w:t xml:space="preserve">  04  </w:t>
      </w:r>
      <w:r>
        <w:rPr>
          <w:rFonts w:ascii="Calibri" w:cs="Calibri" w:eastAsia="Calibri" w:hAnsi="Calibri"/>
          <w:b/>
          <w:bCs/>
          <w:color w:val="FFFFFF"/>
          <w:sz w:val="22"/>
          <w:szCs w:val="22"/>
        </w:rPr>
        <w:t xml:space="preserve">  Resolve Data Quality Gaps Systematically</w:t>
      </w:r>
    </w:p>
    <w:p>
      <w:pPr>
        <w:spacing w:after="40" w:before="100"/>
      </w:pPr>
      <w:r>
        <w:rPr>
          <w:rFonts w:ascii="Calibri" w:cs="Calibri" w:eastAsia="Calibri" w:hAnsi="Calibri"/>
          <w:b/>
          <w:bCs/>
          <w:color w:val="1A5C38"/>
          <w:sz w:val="20"/>
          <w:szCs w:val="20"/>
        </w:rPr>
        <w:t xml:space="preserve">Business Context</w:t>
      </w:r>
    </w:p>
    <w:p>
      <w:pPr>
        <w:spacing w:after="80"/>
        <w:jc w:val="both"/>
      </w:pPr>
      <w:r>
        <w:rPr>
          <w:rFonts w:ascii="Calibri" w:cs="Calibri" w:eastAsia="Calibri" w:hAnsi="Calibri"/>
          <w:color w:val="1A1A1A"/>
          <w:sz w:val="19"/>
          <w:szCs w:val="19"/>
        </w:rPr>
        <w:t xml:space="preserve">Two data quality issues limit the precision of this analysis: 25% of customer region data is missing, and 1.15% of transactions reference Product IDs not present in the Products table (IDs 1001–1010). Both gaps create blind spots in regional and product-level analysis.</w:t>
      </w:r>
    </w:p>
    <w:p>
      <w:pPr>
        <w:spacing w:after="40" w:before="80"/>
      </w:pPr>
      <w:r>
        <w:rPr>
          <w:rFonts w:ascii="Calibri" w:cs="Calibri" w:eastAsia="Calibri" w:hAnsi="Calibri"/>
          <w:b/>
          <w:bCs/>
          <w:color w:val="1A5C38"/>
          <w:sz w:val="20"/>
          <w:szCs w:val="20"/>
        </w:rPr>
        <w:t xml:space="preserve">Recommended Action</w:t>
      </w:r>
    </w:p>
    <w:p>
      <w:pPr>
        <w:spacing w:after="80"/>
        <w:jc w:val="both"/>
      </w:pPr>
      <w:r>
        <w:rPr>
          <w:rFonts w:ascii="Calibri" w:cs="Calibri" w:eastAsia="Calibri" w:hAnsi="Calibri"/>
          <w:color w:val="1A1A1A"/>
          <w:sz w:val="19"/>
          <w:szCs w:val="19"/>
        </w:rPr>
        <w:t xml:space="preserve">Implement mandatory region capture at customer registration — both online and in-store. Run a retrospective data enrichment exercise using existing customer contact data (email, city) to populate missing regions where possible. Work with the product management team to identify and register the 10 missing Product IDs in the Products master table. Enforce referential integrity checks at the point of data entry to prevent new gaps from emerging.</w:t>
      </w:r>
    </w:p>
    <w:p>
      <w:pPr>
        <w:spacing w:after="40" w:before="80"/>
      </w:pPr>
      <w:r>
        <w:rPr>
          <w:rFonts w:ascii="Calibri" w:cs="Calibri" w:eastAsia="Calibri" w:hAnsi="Calibri"/>
          <w:b/>
          <w:bCs/>
          <w:color w:val="F0A500"/>
          <w:sz w:val="20"/>
          <w:szCs w:val="20"/>
        </w:rPr>
        <w:t xml:space="preserve">Projected Business Impact</w:t>
      </w:r>
    </w:p>
    <w:p>
      <w:pPr>
        <w:pBdr>
          <w:left w:val="single" w:color="F0A500" w:sz="12"/>
        </w:pBdr>
        <w:shd w:fill="FFF8E6" w:val="clear"/>
        <w:spacing w:after="40"/>
        <w:ind w:left="200"/>
        <w:jc w:val="both"/>
      </w:pPr>
      <w:r>
        <w:rPr>
          <w:rFonts w:ascii="Calibri" w:cs="Calibri" w:eastAsia="Calibri" w:hAnsi="Calibri"/>
          <w:color w:val="1A1A1A"/>
          <w:sz w:val="19"/>
          <w:szCs w:val="19"/>
        </w:rPr>
        <w:t xml:space="preserve">Accurate regional data enables precise geographic marketing targeting, reducing wasted marketing spend and improving campaign ROI. Resolving the missing Product IDs ensures that the £0.43M in revenue currently attributed to 'Unknown Product' is properly categorised — improving category performance reporting accuracy and informing stock and pricing decisions for those products.</w:t>
      </w:r>
    </w:p>
    <w:p>
      <w:pPr>
        <w:spacing w:after="60"/>
      </w:pPr>
      <w:r>
        <w:t xml:space="preserve"/>
      </w:r>
    </w:p>
    <w:p>
      <w:pPr>
        <w:shd w:fill="1A5C38" w:val="clear"/>
        <w:spacing w:after="0" w:before="200"/>
        <w:ind w:left="0"/>
      </w:pPr>
      <w:r>
        <w:rPr>
          <w:rFonts w:ascii="Calibri" w:cs="Calibri" w:eastAsia="Calibri" w:hAnsi="Calibri"/>
          <w:b/>
          <w:bCs/>
          <w:color w:val="FFFFFF"/>
          <w:sz w:val="22"/>
          <w:szCs w:val="22"/>
          <w:highlight w:val="none"/>
          <w:highlightCs w:val="none"/>
        </w:rPr>
        <w:t xml:space="preserve">  05  </w:t>
      </w:r>
      <w:r>
        <w:rPr>
          <w:rFonts w:ascii="Calibri" w:cs="Calibri" w:eastAsia="Calibri" w:hAnsi="Calibri"/>
          <w:b/>
          <w:bCs/>
          <w:color w:val="FFFFFF"/>
          <w:sz w:val="22"/>
          <w:szCs w:val="22"/>
        </w:rPr>
        <w:t xml:space="preserve">  Implement Category-Differentiated Pricing</w:t>
      </w:r>
    </w:p>
    <w:p>
      <w:pPr>
        <w:spacing w:after="40" w:before="100"/>
      </w:pPr>
      <w:r>
        <w:rPr>
          <w:rFonts w:ascii="Calibri" w:cs="Calibri" w:eastAsia="Calibri" w:hAnsi="Calibri"/>
          <w:b/>
          <w:bCs/>
          <w:color w:val="1A5C38"/>
          <w:sz w:val="20"/>
          <w:szCs w:val="20"/>
        </w:rPr>
        <w:t xml:space="preserve">Business Context</w:t>
      </w:r>
    </w:p>
    <w:p>
      <w:pPr>
        <w:spacing w:after="80"/>
        <w:jc w:val="both"/>
      </w:pPr>
      <w:r>
        <w:rPr>
          <w:rFonts w:ascii="Calibri" w:cs="Calibri" w:eastAsia="Calibri" w:hAnsi="Calibri"/>
          <w:color w:val="1A1A1A"/>
          <w:sz w:val="19"/>
          <w:szCs w:val="19"/>
        </w:rPr>
        <w:t xml:space="preserve">All four product categories currently show near-identical revenue contributions and gross profit margins. This uniformity in pricing and margin performance suggests a one-size-fits-all pricing approach that fails to reflect the different competitive dynamics, brand positioning and price elasticity across categories.</w:t>
      </w:r>
    </w:p>
    <w:p>
      <w:pPr>
        <w:spacing w:after="40" w:before="80"/>
      </w:pPr>
      <w:r>
        <w:rPr>
          <w:rFonts w:ascii="Calibri" w:cs="Calibri" w:eastAsia="Calibri" w:hAnsi="Calibri"/>
          <w:b/>
          <w:bCs/>
          <w:color w:val="1A5C38"/>
          <w:sz w:val="20"/>
          <w:szCs w:val="20"/>
        </w:rPr>
        <w:t xml:space="preserve">Recommended Action</w:t>
      </w:r>
    </w:p>
    <w:p>
      <w:pPr>
        <w:spacing w:after="80"/>
        <w:jc w:val="both"/>
      </w:pPr>
      <w:r>
        <w:rPr>
          <w:rFonts w:ascii="Calibri" w:cs="Calibri" w:eastAsia="Calibri" w:hAnsi="Calibri"/>
          <w:color w:val="1A1A1A"/>
          <w:sz w:val="19"/>
          <w:szCs w:val="19"/>
        </w:rPr>
        <w:t xml:space="preserve">Commission a pricing review across all four categories with particular focus on Electronics and Home Appliances, where brand value and product specification complexity may support premium pricing. Test reduced discount levels in the Electronics category first — a natural category for premium positioning — and measure the impact on conversion rate and gross profit margin. Develop category-specific discount ceilings rather than a universal discount rate applied across all products.</w:t>
      </w:r>
    </w:p>
    <w:p>
      <w:pPr>
        <w:spacing w:after="40" w:before="80"/>
      </w:pPr>
      <w:r>
        <w:rPr>
          <w:rFonts w:ascii="Calibri" w:cs="Calibri" w:eastAsia="Calibri" w:hAnsi="Calibri"/>
          <w:b/>
          <w:bCs/>
          <w:color w:val="F0A500"/>
          <w:sz w:val="20"/>
          <w:szCs w:val="20"/>
        </w:rPr>
        <w:t xml:space="preserve">Projected Business Impact</w:t>
      </w:r>
    </w:p>
    <w:p>
      <w:pPr>
        <w:pBdr>
          <w:left w:val="single" w:color="F0A500" w:sz="12"/>
        </w:pBdr>
        <w:shd w:fill="FFF8E6" w:val="clear"/>
        <w:spacing w:after="40"/>
        <w:ind w:left="200"/>
        <w:jc w:val="both"/>
      </w:pPr>
      <w:r>
        <w:rPr>
          <w:rFonts w:ascii="Calibri" w:cs="Calibri" w:eastAsia="Calibri" w:hAnsi="Calibri"/>
          <w:color w:val="1A1A1A"/>
          <w:sz w:val="19"/>
          <w:szCs w:val="19"/>
        </w:rPr>
        <w:t xml:space="preserve">A 3% gross profit margin improvement in the two highest-revenue categories (Home Appliances at £10.0M and Lifestyle at £9.5M) would add approximately £585K to annual gross profit. If extended across all four categories, the total gross profit uplift could reach approximately £1.13M annually — achieved through pricing discipline rather than volume growth.</w:t>
      </w:r>
    </w:p>
    <w:p>
      <w:r>
        <w:br w:type="page"/>
      </w:r>
    </w:p>
    <w:p>
      <w:pPr>
        <w:shd w:fill="1A5C38" w:val="clear"/>
        <w:spacing w:after="200" w:before="400"/>
        <w:ind w:left="200"/>
      </w:pPr>
      <w:r>
        <w:rPr>
          <w:rFonts w:ascii="Calibri" w:cs="Calibri" w:eastAsia="Calibri" w:hAnsi="Calibri"/>
          <w:b/>
          <w:bCs/>
          <w:color w:val="FFFFFF"/>
          <w:sz w:val="36"/>
          <w:szCs w:val="36"/>
        </w:rPr>
        <w:t xml:space="preserve">9. Data Quality &amp; Scope Limitations</w:t>
      </w:r>
    </w:p>
    <w:p>
      <w:pPr>
        <w:pBdr>
          <w:bottom w:val="single" w:color="1A5C38" w:sz="8"/>
        </w:pBdr>
        <w:spacing w:after="120" w:before="360"/>
      </w:pPr>
      <w:r>
        <w:rPr>
          <w:rFonts w:ascii="Calibri" w:cs="Calibri" w:eastAsia="Calibri" w:hAnsi="Calibri"/>
          <w:b/>
          <w:bCs/>
          <w:color w:val="1A5C38"/>
          <w:sz w:val="26"/>
          <w:szCs w:val="26"/>
        </w:rPr>
        <w:t xml:space="preserve">9.1 Scope Exclusions</w:t>
      </w:r>
    </w:p>
    <w:p>
      <w:pPr>
        <w:spacing w:after="80"/>
        <w:ind w:left="360"/>
      </w:pPr>
      <w:r>
        <w:rPr>
          <w:rFonts w:ascii="Calibri" w:cs="Calibri" w:eastAsia="Calibri" w:hAnsi="Calibri"/>
          <w:color w:val="1A1A1A"/>
          <w:sz w:val="20"/>
          <w:szCs w:val="20"/>
        </w:rPr>
        <w:t xml:space="preserve">•  Net Profit: Operating expense data — including staff costs, rent, utilities, logistics and depreciation — was not available in the provided dataset. Net Profit has been excluded from all analysis and dashboard visuals. Gross Profit (Revenue minus Cost of Goods Sold) is the most complete profitability metric available.</w:t>
      </w:r>
    </w:p>
    <w:p>
      <w:pPr>
        <w:spacing w:after="80"/>
        <w:ind w:left="360"/>
      </w:pPr>
      <w:r>
        <w:rPr>
          <w:rFonts w:ascii="Calibri" w:cs="Calibri" w:eastAsia="Calibri" w:hAnsi="Calibri"/>
          <w:color w:val="1A1A1A"/>
          <w:sz w:val="20"/>
          <w:szCs w:val="20"/>
        </w:rPr>
        <w:t xml:space="preserve">•  Marketing Spend Analysis: No marketing expenditure data was provided. The impact of marketing investment on customer acquisition and channel performance cannot be assessed.</w:t>
      </w:r>
    </w:p>
    <w:p>
      <w:pPr>
        <w:spacing w:after="80"/>
        <w:ind w:left="360"/>
      </w:pPr>
      <w:r>
        <w:rPr>
          <w:rFonts w:ascii="Calibri" w:cs="Calibri" w:eastAsia="Calibri" w:hAnsi="Calibri"/>
          <w:color w:val="1A1A1A"/>
          <w:sz w:val="20"/>
          <w:szCs w:val="20"/>
        </w:rPr>
        <w:t xml:space="preserve">•  Inventory Management: Stock levels, inventory costs and out-of-stock events are outside the scope of this dataset and analysis.</w:t>
      </w:r>
    </w:p>
    <w:p>
      <w:pPr>
        <w:pBdr>
          <w:bottom w:val="single" w:color="1A5C38" w:sz="8"/>
        </w:pBdr>
        <w:spacing w:after="120" w:before="360"/>
      </w:pPr>
      <w:r>
        <w:rPr>
          <w:rFonts w:ascii="Calibri" w:cs="Calibri" w:eastAsia="Calibri" w:hAnsi="Calibri"/>
          <w:b/>
          <w:bCs/>
          <w:color w:val="1A5C38"/>
          <w:sz w:val="26"/>
          <w:szCs w:val="26"/>
        </w:rPr>
        <w:t xml:space="preserve">9.2 Data Quality Issues Identified</w:t>
      </w:r>
    </w:p>
    <w:p>
      <w:pPr>
        <w:spacing w:after="80"/>
        <w:ind w:left="360"/>
      </w:pPr>
      <w:r>
        <w:rPr>
          <w:rFonts w:ascii="Calibri" w:cs="Calibri" w:eastAsia="Calibri" w:hAnsi="Calibri"/>
          <w:color w:val="1A1A1A"/>
          <w:sz w:val="20"/>
          <w:szCs w:val="20"/>
        </w:rPr>
        <w:t xml:space="preserve">•  Missing Customer Regions: 1,268 of 5,000 customer records (25.36%) have no region assigned. These have been labelled 'Unknown' in all regional analysis. Regional insights should be interpreted with this limitation in mind.</w:t>
      </w:r>
    </w:p>
    <w:p>
      <w:pPr>
        <w:spacing w:after="80"/>
        <w:ind w:left="360"/>
      </w:pPr>
      <w:r>
        <w:rPr>
          <w:rFonts w:ascii="Calibri" w:cs="Calibri" w:eastAsia="Calibri" w:hAnsi="Calibri"/>
          <w:color w:val="1A1A1A"/>
          <w:sz w:val="20"/>
          <w:szCs w:val="20"/>
        </w:rPr>
        <w:t xml:space="preserve">•  Unmatched Product IDs: 304 transactions in the Sales table reference Product IDs (1001–1010) that do not exist in the Products table. These transactions — representing approximately £0.43M in revenue — have been labelled 'Unknown Product' and are included in all financial totals.</w:t>
      </w:r>
    </w:p>
    <w:p>
      <w:pPr>
        <w:spacing w:after="80"/>
        <w:ind w:left="360"/>
      </w:pPr>
      <w:r>
        <w:rPr>
          <w:rFonts w:ascii="Calibri" w:cs="Calibri" w:eastAsia="Calibri" w:hAnsi="Calibri"/>
          <w:color w:val="1A1A1A"/>
          <w:sz w:val="20"/>
          <w:szCs w:val="20"/>
        </w:rPr>
        <w:t xml:space="preserve">•  Synthetic Dataset: All data used in this project is computer-generated. Figures such as the 98.71% discount rate, near-equal customer segment distribution, and 50/50 gender split are artefacts of the data generation process and do not reflect real retail market dynamics. All insights and recommendations should be understood as analytically valid demonstrations of methodology rather than reflections of actual RetailMax business performance.</w:t>
      </w:r>
    </w:p>
    <w:p>
      <w:pPr>
        <w:pBdr>
          <w:bottom w:val="single" w:color="1A5C38" w:sz="8"/>
        </w:pBdr>
        <w:spacing w:after="120" w:before="360"/>
      </w:pPr>
      <w:r>
        <w:rPr>
          <w:rFonts w:ascii="Calibri" w:cs="Calibri" w:eastAsia="Calibri" w:hAnsi="Calibri"/>
          <w:b/>
          <w:bCs/>
          <w:color w:val="1A5C38"/>
          <w:sz w:val="26"/>
          <w:szCs w:val="26"/>
        </w:rPr>
        <w:t xml:space="preserve">9.3 Analytical Caveats</w:t>
      </w:r>
    </w:p>
    <w:p>
      <w:pPr>
        <w:spacing w:after="120"/>
        <w:jc w:val="both"/>
      </w:pPr>
      <w:r>
        <w:rPr>
          <w:rFonts w:ascii="Calibri" w:cs="Calibri" w:eastAsia="Calibri" w:hAnsi="Calibri"/>
          <w:color w:val="1A1A1A"/>
          <w:sz w:val="20"/>
          <w:szCs w:val="20"/>
        </w:rPr>
        <w:t xml:space="preserve">Growth rates and retention figures are mathematically accurate based on the provided data but should not be used as benchmarks for real business decision-making. All financial projections in Section 8 are illustrative estimates based on simple sensitivity analysis of the available data and are not formal financial forecasts.</w:t>
      </w:r>
    </w:p>
    <w:p>
      <w:pPr>
        <w:spacing w:after="60"/>
      </w:pPr>
      <w:r>
        <w:t xml:space="preserve"/>
      </w:r>
    </w:p>
    <w:p>
      <w:pPr>
        <w:spacing w:after="60"/>
      </w:pPr>
      <w:r>
        <w:t xml:space="preserve"/>
      </w:r>
    </w:p>
    <w:p>
      <w:pPr>
        <w:spacing w:before="400"/>
        <w:jc w:val="center"/>
      </w:pPr>
      <w:r>
        <w:rPr>
          <w:rFonts w:ascii="Calibri" w:cs="Calibri" w:eastAsia="Calibri" w:hAnsi="Calibri"/>
          <w:b/>
          <w:bCs/>
          <w:i/>
          <w:iCs/>
          <w:color w:val="555555"/>
          <w:sz w:val="20"/>
          <w:szCs w:val="20"/>
        </w:rPr>
        <w:t xml:space="preserve">End of Report</w:t>
      </w:r>
    </w:p>
    <w:p>
      <w:pPr>
        <w:spacing w:after="80"/>
        <w:jc w:val="center"/>
      </w:pPr>
      <w:r>
        <w:rPr>
          <w:rFonts w:ascii="Calibri" w:cs="Calibri" w:eastAsia="Calibri" w:hAnsi="Calibri"/>
          <w:i/>
          <w:iCs/>
          <w:color w:val="AAAAAA"/>
          <w:sz w:val="16"/>
          <w:szCs w:val="16"/>
        </w:rPr>
        <w:t xml:space="preserve">RetailMax Revenue Intelligence Project  |  Amdari Work Experience Programme  |  June–July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2026-07-10T03:57:29.712Z</dcterms:created>
  <dcterms:modified xsi:type="dcterms:W3CDTF">2026-07-10T03:57:29.712Z</dcterms:modified>
</cp:coreProperties>
</file>

<file path=docProps/custom.xml><?xml version="1.0" encoding="utf-8"?>
<Properties xmlns="http://schemas.openxmlformats.org/officeDocument/2006/custom-properties" xmlns:vt="http://schemas.openxmlformats.org/officeDocument/2006/docPropsVTypes"/>
</file>