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99DB" w14:textId="77777777" w:rsidR="00C16AEA" w:rsidRDefault="00C16AEA">
      <w:pPr>
        <w:spacing w:before="1440"/>
      </w:pPr>
    </w:p>
    <w:p w14:paraId="62BA99DC" w14:textId="77777777" w:rsidR="00C16AEA" w:rsidRDefault="00493E21">
      <w:pPr>
        <w:jc w:val="center"/>
      </w:pPr>
      <w:r>
        <w:rPr>
          <w:b/>
          <w:bCs/>
          <w:color w:val="7B2D00"/>
          <w:sz w:val="40"/>
          <w:szCs w:val="40"/>
        </w:rPr>
        <w:t>BOSCH REXROTH AG</w:t>
      </w:r>
    </w:p>
    <w:p w14:paraId="62BA99DD" w14:textId="77777777" w:rsidR="00C16AEA" w:rsidRDefault="00493E21">
      <w:pPr>
        <w:spacing w:after="80"/>
        <w:jc w:val="center"/>
      </w:pPr>
      <w:r>
        <w:rPr>
          <w:b/>
          <w:bCs/>
          <w:color w:val="4A1A00"/>
          <w:sz w:val="32"/>
          <w:szCs w:val="32"/>
        </w:rPr>
        <w:t>Predictive Maintenance Strategy</w:t>
      </w:r>
    </w:p>
    <w:p w14:paraId="62BA99DE" w14:textId="77777777" w:rsidR="00C16AEA" w:rsidRDefault="00493E21">
      <w:pPr>
        <w:spacing w:after="80"/>
        <w:jc w:val="center"/>
      </w:pPr>
      <w:r>
        <w:rPr>
          <w:color w:val="666666"/>
          <w:sz w:val="26"/>
          <w:szCs w:val="26"/>
        </w:rPr>
        <w:t>Data Analytics Insight Report</w:t>
      </w:r>
    </w:p>
    <w:p w14:paraId="62BA99DF" w14:textId="77777777" w:rsidR="00C16AEA" w:rsidRDefault="00493E21">
      <w:pPr>
        <w:spacing w:after="80"/>
        <w:jc w:val="center"/>
      </w:pPr>
      <w:r>
        <w:rPr>
          <w:color w:val="888888"/>
        </w:rPr>
        <w:t>January – February 2024</w:t>
      </w:r>
    </w:p>
    <w:p w14:paraId="62BA99E0" w14:textId="610979C2" w:rsidR="00C16AEA" w:rsidRDefault="00493E21">
      <w:pPr>
        <w:jc w:val="center"/>
      </w:pPr>
      <w:r>
        <w:rPr>
          <w:color w:val="888888"/>
          <w:sz w:val="20"/>
          <w:szCs w:val="20"/>
        </w:rPr>
        <w:t>Prepared by: David</w:t>
      </w:r>
      <w:r w:rsidR="00981B59">
        <w:rPr>
          <w:color w:val="888888"/>
          <w:sz w:val="20"/>
          <w:szCs w:val="20"/>
        </w:rPr>
        <w:t xml:space="preserve"> Osoba</w:t>
      </w:r>
      <w:r>
        <w:rPr>
          <w:color w:val="888888"/>
          <w:sz w:val="20"/>
          <w:szCs w:val="20"/>
        </w:rPr>
        <w:t xml:space="preserve"> | </w:t>
      </w:r>
      <w:proofErr w:type="spellStart"/>
      <w:r>
        <w:rPr>
          <w:color w:val="888888"/>
          <w:sz w:val="20"/>
          <w:szCs w:val="20"/>
        </w:rPr>
        <w:t>Amdari</w:t>
      </w:r>
      <w:proofErr w:type="spellEnd"/>
      <w:r>
        <w:rPr>
          <w:color w:val="888888"/>
          <w:sz w:val="20"/>
          <w:szCs w:val="20"/>
        </w:rPr>
        <w:t xml:space="preserve"> Work Experience Programme</w:t>
      </w:r>
    </w:p>
    <w:p w14:paraId="62BA99E1" w14:textId="77777777" w:rsidR="00C16AEA" w:rsidRDefault="00493E21">
      <w:r>
        <w:br w:type="page"/>
      </w:r>
    </w:p>
    <w:p w14:paraId="62BA99E2" w14:textId="77777777" w:rsidR="00C16AEA" w:rsidRDefault="00493E21">
      <w:pPr>
        <w:pStyle w:val="Heading1"/>
        <w:pBdr>
          <w:bottom w:val="single" w:sz="6" w:space="1" w:color="7B2D00"/>
        </w:pBdr>
      </w:pPr>
      <w:r>
        <w:rPr>
          <w:color w:val="7B2D00"/>
        </w:rPr>
        <w:lastRenderedPageBreak/>
        <w:t>1. Executive Summary</w:t>
      </w:r>
    </w:p>
    <w:p w14:paraId="62BA99E3" w14:textId="77777777" w:rsidR="00C16AEA" w:rsidRDefault="00493E21">
      <w:pPr>
        <w:spacing w:before="80" w:after="80"/>
        <w:jc w:val="both"/>
      </w:pPr>
      <w:r>
        <w:t>This report presents the findings of a data analytics investigation into the hydraulic system performance of Bosch Rexroth AG across a fleet of 10 machines (HPU_01 to HPU_10) during the period January to February 2024. The analysis was conducted using sensor telemetry, failure event records, and maintenance logs, processed through a PostgreSQL database and visualised in a Power BI dashboard.</w:t>
      </w:r>
    </w:p>
    <w:p w14:paraId="62BA99E4" w14:textId="77777777" w:rsidR="00C16AEA" w:rsidRDefault="00493E21">
      <w:pPr>
        <w:spacing w:before="80" w:after="80"/>
        <w:jc w:val="both"/>
      </w:pPr>
      <w:r>
        <w:t>The primary objective was to identify failure patterns, assess sensor health, and evaluate the financial and operational impact of the current maintenance strategy. Key findings indicate that pump wear is the dominant failure mode, HPU_08 is the most at-risk machine, and the fleet currently operates at a 27% reactive maintenance ratio — above the 20% target set by the business.</w:t>
      </w:r>
    </w:p>
    <w:p w14:paraId="62BA99E5" w14:textId="77777777" w:rsidR="00C16AEA" w:rsidRDefault="00493E21">
      <w:pPr>
        <w:spacing w:before="80" w:after="80"/>
        <w:jc w:val="both"/>
      </w:pPr>
      <w:r>
        <w:t>The synthetic fluid used in HPU_10 appears to correlate with a lower anomaly rate compared to mineral oil machines, presenting a potential avenue for reducing failures across the wider fleet.</w:t>
      </w:r>
    </w:p>
    <w:p w14:paraId="62BA99E6" w14:textId="77777777" w:rsidR="00C16AEA" w:rsidRDefault="00C16AEA">
      <w:pPr>
        <w:spacing w:before="200"/>
      </w:pPr>
    </w:p>
    <w:p w14:paraId="62BA99E7" w14:textId="77777777" w:rsidR="00C16AEA" w:rsidRDefault="00493E21">
      <w:pPr>
        <w:pStyle w:val="Heading1"/>
        <w:pBdr>
          <w:bottom w:val="single" w:sz="6" w:space="1" w:color="7B2D00"/>
        </w:pBdr>
      </w:pPr>
      <w:r>
        <w:rPr>
          <w:color w:val="7B2D00"/>
        </w:rPr>
        <w:t>2. Project Scope &amp; Methodology</w:t>
      </w:r>
    </w:p>
    <w:p w14:paraId="62BA99E8" w14:textId="77777777" w:rsidR="00C16AEA" w:rsidRDefault="00493E21">
      <w:pPr>
        <w:pStyle w:val="Heading2"/>
      </w:pPr>
      <w:r>
        <w:rPr>
          <w:color w:val="4A1A00"/>
        </w:rPr>
        <w:t>2.1 Scope</w:t>
      </w:r>
    </w:p>
    <w:p w14:paraId="62BA99E9" w14:textId="77777777" w:rsidR="00C16AEA" w:rsidRDefault="00493E21">
      <w:pPr>
        <w:spacing w:before="80" w:after="80"/>
        <w:jc w:val="both"/>
      </w:pPr>
      <w:r>
        <w:t>This report covers the data analytics component of the broader predictive maintenance project. The scope includes:</w:t>
      </w:r>
    </w:p>
    <w:p w14:paraId="62BA99EA" w14:textId="77777777" w:rsidR="00C16AEA" w:rsidRDefault="00493E21">
      <w:pPr>
        <w:pStyle w:val="ListParagraph"/>
        <w:numPr>
          <w:ilvl w:val="0"/>
          <w:numId w:val="2"/>
        </w:numPr>
        <w:spacing w:before="60" w:after="60"/>
      </w:pPr>
      <w:r>
        <w:t>Data ingestion and validation of four datasets into PostgreSQL</w:t>
      </w:r>
    </w:p>
    <w:p w14:paraId="62BA99EB" w14:textId="77777777" w:rsidR="00C16AEA" w:rsidRDefault="00493E21">
      <w:pPr>
        <w:pStyle w:val="ListParagraph"/>
        <w:numPr>
          <w:ilvl w:val="0"/>
          <w:numId w:val="2"/>
        </w:numPr>
        <w:spacing w:before="60" w:after="60"/>
      </w:pPr>
      <w:r>
        <w:t>Data cleaning using forward-fill interpolation for sensor dropout events</w:t>
      </w:r>
    </w:p>
    <w:p w14:paraId="62BA99EC" w14:textId="77777777" w:rsidR="00C16AEA" w:rsidRDefault="00493E21">
      <w:pPr>
        <w:pStyle w:val="ListParagraph"/>
        <w:numPr>
          <w:ilvl w:val="0"/>
          <w:numId w:val="2"/>
        </w:numPr>
        <w:spacing w:before="60" w:after="60"/>
      </w:pPr>
      <w:r>
        <w:t>Hourly aggregation of 864,000 minute-level sensor readings</w:t>
      </w:r>
    </w:p>
    <w:p w14:paraId="62BA99ED" w14:textId="77777777" w:rsidR="00C16AEA" w:rsidRDefault="00493E21">
      <w:pPr>
        <w:pStyle w:val="ListParagraph"/>
        <w:numPr>
          <w:ilvl w:val="0"/>
          <w:numId w:val="2"/>
        </w:numPr>
        <w:spacing w:before="60" w:after="60"/>
      </w:pPr>
      <w:r>
        <w:t>Entity Relationship Diagram design documenting table relationships</w:t>
      </w:r>
    </w:p>
    <w:p w14:paraId="62BA99EE" w14:textId="77777777" w:rsidR="00C16AEA" w:rsidRDefault="00493E21">
      <w:pPr>
        <w:pStyle w:val="ListParagraph"/>
        <w:numPr>
          <w:ilvl w:val="0"/>
          <w:numId w:val="2"/>
        </w:numPr>
        <w:spacing w:before="60" w:after="60"/>
      </w:pPr>
      <w:r>
        <w:t>Power BI dashboard development across three analytical pages</w:t>
      </w:r>
    </w:p>
    <w:p w14:paraId="62BA99EF" w14:textId="77777777" w:rsidR="00C16AEA" w:rsidRDefault="00493E21">
      <w:pPr>
        <w:pStyle w:val="Heading2"/>
      </w:pPr>
      <w:r>
        <w:rPr>
          <w:color w:val="4A1A00"/>
        </w:rPr>
        <w:t>2.2 Datasets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C16AEA" w14:paraId="62BA99F3" w14:textId="77777777">
        <w:tblPrEx>
          <w:tblCellMar>
            <w:top w:w="0" w:type="dxa"/>
            <w:bottom w:w="0" w:type="dxa"/>
          </w:tblCellMar>
        </w:tblPrEx>
        <w:tc>
          <w:tcPr>
            <w:tcW w:w="2800" w:type="dxa"/>
            <w:tcBorders>
              <w:top w:val="single" w:sz="1" w:space="0" w:color="7B2D00"/>
              <w:left w:val="single" w:sz="1" w:space="0" w:color="7B2D00"/>
              <w:bottom w:val="single" w:sz="1" w:space="0" w:color="7B2D00"/>
              <w:right w:val="single" w:sz="1" w:space="0" w:color="7B2D00"/>
            </w:tcBorders>
            <w:shd w:val="clear" w:color="auto" w:fill="7B2D00"/>
            <w:tcMar>
              <w:top w:w="80" w:type="dxa"/>
              <w:left w:w="120" w:type="dxa"/>
              <w:bottom w:w="80" w:type="dxa"/>
              <w:right w:w="120" w:type="dxa"/>
            </w:tcMar>
          </w:tcPr>
          <w:p w14:paraId="62BA99F0" w14:textId="77777777" w:rsidR="00C16AEA" w:rsidRDefault="00493E21">
            <w:r>
              <w:rPr>
                <w:b/>
                <w:bCs/>
                <w:color w:val="FFFFFF"/>
                <w:sz w:val="20"/>
                <w:szCs w:val="20"/>
              </w:rPr>
              <w:t>Dataset</w:t>
            </w:r>
          </w:p>
        </w:tc>
        <w:tc>
          <w:tcPr>
            <w:tcW w:w="1800" w:type="dxa"/>
            <w:tcBorders>
              <w:top w:val="single" w:sz="1" w:space="0" w:color="7B2D00"/>
              <w:left w:val="single" w:sz="1" w:space="0" w:color="7B2D00"/>
              <w:bottom w:val="single" w:sz="1" w:space="0" w:color="7B2D00"/>
              <w:right w:val="single" w:sz="1" w:space="0" w:color="7B2D00"/>
            </w:tcBorders>
            <w:shd w:val="clear" w:color="auto" w:fill="7B2D00"/>
            <w:tcMar>
              <w:top w:w="80" w:type="dxa"/>
              <w:left w:w="120" w:type="dxa"/>
              <w:bottom w:w="80" w:type="dxa"/>
              <w:right w:w="120" w:type="dxa"/>
            </w:tcMar>
          </w:tcPr>
          <w:p w14:paraId="62BA99F1" w14:textId="77777777" w:rsidR="00C16AEA" w:rsidRDefault="00493E21">
            <w:r>
              <w:rPr>
                <w:b/>
                <w:bCs/>
                <w:color w:val="FFFFFF"/>
                <w:sz w:val="20"/>
                <w:szCs w:val="20"/>
              </w:rPr>
              <w:t>Records</w:t>
            </w:r>
          </w:p>
        </w:tc>
        <w:tc>
          <w:tcPr>
            <w:tcW w:w="4760" w:type="dxa"/>
            <w:tcBorders>
              <w:top w:val="single" w:sz="1" w:space="0" w:color="7B2D00"/>
              <w:left w:val="single" w:sz="1" w:space="0" w:color="7B2D00"/>
              <w:bottom w:val="single" w:sz="1" w:space="0" w:color="7B2D00"/>
              <w:right w:val="single" w:sz="1" w:space="0" w:color="7B2D00"/>
            </w:tcBorders>
            <w:shd w:val="clear" w:color="auto" w:fill="7B2D00"/>
            <w:tcMar>
              <w:top w:w="80" w:type="dxa"/>
              <w:left w:w="120" w:type="dxa"/>
              <w:bottom w:w="80" w:type="dxa"/>
              <w:right w:w="120" w:type="dxa"/>
            </w:tcMar>
          </w:tcPr>
          <w:p w14:paraId="62BA99F2" w14:textId="77777777" w:rsidR="00C16AEA" w:rsidRDefault="00493E21">
            <w:r>
              <w:rPr>
                <w:b/>
                <w:bCs/>
                <w:color w:val="FFFFFF"/>
                <w:sz w:val="20"/>
                <w:szCs w:val="20"/>
              </w:rPr>
              <w:t>Description</w:t>
            </w:r>
          </w:p>
        </w:tc>
      </w:tr>
      <w:tr w:rsidR="00C16AEA" w14:paraId="62BA99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9F4" w14:textId="77777777" w:rsidR="00C16AEA" w:rsidRDefault="00493E21">
            <w:proofErr w:type="spellStart"/>
            <w:r>
              <w:rPr>
                <w:sz w:val="20"/>
                <w:szCs w:val="20"/>
              </w:rPr>
              <w:t>sensor_telemetry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9F5" w14:textId="77777777" w:rsidR="00C16AEA" w:rsidRDefault="00493E21">
            <w:r>
              <w:rPr>
                <w:sz w:val="20"/>
                <w:szCs w:val="20"/>
              </w:rPr>
              <w:t>864,000</w:t>
            </w:r>
          </w:p>
        </w:tc>
        <w:tc>
          <w:tcPr>
            <w:tcW w:w="476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9F6" w14:textId="77777777" w:rsidR="00C16AEA" w:rsidRDefault="00493E21">
            <w:r>
              <w:rPr>
                <w:sz w:val="20"/>
                <w:szCs w:val="20"/>
              </w:rPr>
              <w:t>Minute-level sensor readings across 10 machines</w:t>
            </w:r>
          </w:p>
        </w:tc>
      </w:tr>
      <w:tr w:rsidR="00C16AEA" w14:paraId="62BA99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9F8" w14:textId="77777777" w:rsidR="00C16AEA" w:rsidRDefault="00493E21">
            <w:proofErr w:type="spellStart"/>
            <w:r>
              <w:rPr>
                <w:sz w:val="20"/>
                <w:szCs w:val="20"/>
              </w:rPr>
              <w:t>failure_labels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9F9" w14:textId="77777777" w:rsidR="00C16AEA" w:rsidRDefault="00493E21">
            <w:r>
              <w:rPr>
                <w:sz w:val="20"/>
                <w:szCs w:val="20"/>
              </w:rPr>
              <w:t>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9FA" w14:textId="77777777" w:rsidR="00C16AEA" w:rsidRDefault="00493E21">
            <w:r>
              <w:rPr>
                <w:sz w:val="20"/>
                <w:szCs w:val="20"/>
              </w:rPr>
              <w:t>Failure events with mode, cost and downtime</w:t>
            </w:r>
          </w:p>
        </w:tc>
      </w:tr>
      <w:tr w:rsidR="00C16AEA" w14:paraId="62BA99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9FC" w14:textId="77777777" w:rsidR="00C16AEA" w:rsidRDefault="00493E21">
            <w:proofErr w:type="spellStart"/>
            <w:r>
              <w:rPr>
                <w:sz w:val="20"/>
                <w:szCs w:val="20"/>
              </w:rPr>
              <w:t>maintenance_log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9FD" w14:textId="77777777" w:rsidR="00C16AEA" w:rsidRDefault="00493E21">
            <w:r>
              <w:rPr>
                <w:sz w:val="20"/>
                <w:szCs w:val="20"/>
              </w:rPr>
              <w:t>51</w:t>
            </w:r>
          </w:p>
        </w:tc>
        <w:tc>
          <w:tcPr>
            <w:tcW w:w="476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9FE" w14:textId="77777777" w:rsidR="00C16AEA" w:rsidRDefault="00493E21">
            <w:r>
              <w:rPr>
                <w:sz w:val="20"/>
                <w:szCs w:val="20"/>
              </w:rPr>
              <w:t>Maintenance actions with type, component and cost</w:t>
            </w:r>
          </w:p>
        </w:tc>
      </w:tr>
      <w:tr w:rsidR="00C16AEA" w14:paraId="62BA9A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00" w14:textId="77777777" w:rsidR="00C16AEA" w:rsidRDefault="00493E21">
            <w:proofErr w:type="spellStart"/>
            <w:r>
              <w:rPr>
                <w:sz w:val="20"/>
                <w:szCs w:val="20"/>
              </w:rPr>
              <w:t>equipment_master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01" w14:textId="77777777" w:rsidR="00C16AEA" w:rsidRDefault="00493E21">
            <w:r>
              <w:rPr>
                <w:sz w:val="20"/>
                <w:szCs w:val="20"/>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02" w14:textId="77777777" w:rsidR="00C16AEA" w:rsidRDefault="00493E21">
            <w:r>
              <w:rPr>
                <w:sz w:val="20"/>
                <w:szCs w:val="20"/>
              </w:rPr>
              <w:t>Machine metadata including fluid type and priority</w:t>
            </w:r>
          </w:p>
        </w:tc>
      </w:tr>
    </w:tbl>
    <w:p w14:paraId="62BA9A04" w14:textId="77777777" w:rsidR="00C16AEA" w:rsidRDefault="00C16AEA">
      <w:pPr>
        <w:spacing w:before="200"/>
      </w:pPr>
    </w:p>
    <w:p w14:paraId="62BA9A05" w14:textId="77777777" w:rsidR="00C16AEA" w:rsidRDefault="00493E21">
      <w:pPr>
        <w:pStyle w:val="Heading1"/>
        <w:pBdr>
          <w:bottom w:val="single" w:sz="6" w:space="1" w:color="7B2D00"/>
        </w:pBdr>
      </w:pPr>
      <w:r>
        <w:rPr>
          <w:color w:val="7B2D00"/>
        </w:rPr>
        <w:t>3. Failure &amp; Maintenance Analysis</w:t>
      </w:r>
    </w:p>
    <w:p w14:paraId="62BA9A06" w14:textId="77777777" w:rsidR="00C16AEA" w:rsidRDefault="00493E21">
      <w:pPr>
        <w:pStyle w:val="Heading2"/>
      </w:pPr>
      <w:r>
        <w:rPr>
          <w:color w:val="4A1A00"/>
        </w:rPr>
        <w:t>3.1 Failure Mode Overview</w:t>
      </w:r>
    </w:p>
    <w:p w14:paraId="62BA9A07" w14:textId="77777777" w:rsidR="00C16AEA" w:rsidRDefault="00493E21">
      <w:pPr>
        <w:spacing w:before="80" w:after="80"/>
        <w:jc w:val="both"/>
      </w:pPr>
      <w:r>
        <w:t>Across the two-month period, 9 failure events were recorded across 9 of the 10 machines. Four distinct failure modes were identified:</w:t>
      </w:r>
    </w:p>
    <w:p w14:paraId="62BA9A08" w14:textId="77777777" w:rsidR="00C16AEA" w:rsidRDefault="00493E21">
      <w:pPr>
        <w:pStyle w:val="ListParagraph"/>
        <w:numPr>
          <w:ilvl w:val="0"/>
          <w:numId w:val="2"/>
        </w:numPr>
        <w:spacing w:before="60" w:after="60"/>
      </w:pPr>
      <w:r>
        <w:t>Pump Wear — most frequent (3 occurrences), highest average repair cost at $28K per event, responsible for over 50 hours of cumulative downtime</w:t>
      </w:r>
    </w:p>
    <w:p w14:paraId="62BA9A09" w14:textId="77777777" w:rsidR="00C16AEA" w:rsidRDefault="00493E21">
      <w:pPr>
        <w:pStyle w:val="ListParagraph"/>
        <w:numPr>
          <w:ilvl w:val="0"/>
          <w:numId w:val="2"/>
        </w:numPr>
        <w:spacing w:before="60" w:after="60"/>
      </w:pPr>
      <w:r>
        <w:lastRenderedPageBreak/>
        <w:t>Valve Leakage — 3 occurrences, lowest average repair cost at $11K per event</w:t>
      </w:r>
    </w:p>
    <w:p w14:paraId="62BA9A0A" w14:textId="77777777" w:rsidR="00C16AEA" w:rsidRDefault="00493E21">
      <w:pPr>
        <w:pStyle w:val="ListParagraph"/>
        <w:numPr>
          <w:ilvl w:val="0"/>
          <w:numId w:val="2"/>
        </w:numPr>
        <w:spacing w:before="60" w:after="60"/>
      </w:pPr>
      <w:r>
        <w:t>Contamination — 2 occurrences, characterised by significantly elevated vibration levels</w:t>
      </w:r>
    </w:p>
    <w:p w14:paraId="62BA9A0B" w14:textId="77777777" w:rsidR="00C16AEA" w:rsidRDefault="00493E21">
      <w:pPr>
        <w:pStyle w:val="ListParagraph"/>
        <w:numPr>
          <w:ilvl w:val="0"/>
          <w:numId w:val="2"/>
        </w:numPr>
        <w:spacing w:before="60" w:after="60"/>
      </w:pPr>
      <w:r>
        <w:t>Cylinder Drift — 1 occurrence, least frequent failure mode</w:t>
      </w:r>
    </w:p>
    <w:p w14:paraId="62BA9A0C" w14:textId="77777777" w:rsidR="00C16AEA" w:rsidRDefault="00493E21">
      <w:pPr>
        <w:spacing w:before="80" w:after="80"/>
        <w:jc w:val="both"/>
      </w:pPr>
      <w:r>
        <w:t>Pump wear represents the highest priority failure mode from both a frequency and financial perspective. Its combination of high occurrence rate and high repair cost makes it the primary target for predictive intervention.</w:t>
      </w:r>
    </w:p>
    <w:p w14:paraId="62BA9A0D" w14:textId="77777777" w:rsidR="00C16AEA" w:rsidRDefault="00493E21">
      <w:pPr>
        <w:pStyle w:val="Heading2"/>
      </w:pPr>
      <w:r>
        <w:rPr>
          <w:color w:val="4A1A00"/>
        </w:rPr>
        <w:t>3.2 Machine Downtime Analysis</w:t>
      </w:r>
    </w:p>
    <w:p w14:paraId="62BA9A0E" w14:textId="77777777" w:rsidR="00C16AEA" w:rsidRDefault="00493E21">
      <w:pPr>
        <w:spacing w:before="80" w:after="80"/>
        <w:jc w:val="both"/>
      </w:pPr>
      <w:r>
        <w:t>HPU_04 recorded the highest single-machine downtime at 22 hours, followed by HPU_07 at 15 hours and HPU_01 and HPU_06 both at 13 hours. Notably, HPU_10 recorded zero downtime across the entire period, consistent with its zero failure record.</w:t>
      </w:r>
    </w:p>
    <w:p w14:paraId="62BA9A0F" w14:textId="77777777" w:rsidR="00C16AEA" w:rsidRDefault="00493E21">
      <w:pPr>
        <w:pStyle w:val="Heading2"/>
      </w:pPr>
      <w:r>
        <w:rPr>
          <w:color w:val="4A1A00"/>
        </w:rPr>
        <w:t>3.3 Maintenance Activity</w:t>
      </w:r>
    </w:p>
    <w:p w14:paraId="62BA9A10" w14:textId="77777777" w:rsidR="00C16AEA" w:rsidRDefault="00493E21">
      <w:pPr>
        <w:spacing w:before="80" w:after="80"/>
        <w:jc w:val="both"/>
      </w:pPr>
      <w:r>
        <w:t>A total of 51 maintenance actions were recorded across the fleet. The seal was the most frequently replaced component, replaced 18 times across all machines, followed by filters (11 times). This pattern suggests seal degradation is a persistent issue across the hydraulic systems and may warrant a proactive seal replacement programme.</w:t>
      </w:r>
    </w:p>
    <w:p w14:paraId="62BA9A11" w14:textId="77777777" w:rsidR="00C16AEA" w:rsidRDefault="00493E21">
      <w:pPr>
        <w:spacing w:before="80" w:after="80"/>
        <w:jc w:val="both"/>
      </w:pPr>
      <w:r>
        <w:t>The current maintenance strategy breakdown is as follows:</w:t>
      </w:r>
    </w:p>
    <w:p w14:paraId="62BA9A12" w14:textId="77777777" w:rsidR="00C16AEA" w:rsidRDefault="00493E21">
      <w:pPr>
        <w:pStyle w:val="ListParagraph"/>
        <w:numPr>
          <w:ilvl w:val="0"/>
          <w:numId w:val="2"/>
        </w:numPr>
        <w:spacing w:before="60" w:after="60"/>
      </w:pPr>
      <w:r>
        <w:t>Preventive: 33 actions (65% of total)</w:t>
      </w:r>
    </w:p>
    <w:p w14:paraId="62BA9A13" w14:textId="77777777" w:rsidR="00C16AEA" w:rsidRDefault="00493E21">
      <w:pPr>
        <w:pStyle w:val="ListParagraph"/>
        <w:numPr>
          <w:ilvl w:val="0"/>
          <w:numId w:val="2"/>
        </w:numPr>
        <w:spacing w:before="60" w:after="60"/>
      </w:pPr>
      <w:r>
        <w:t>Reactive: 14 actions (27% of total)</w:t>
      </w:r>
    </w:p>
    <w:p w14:paraId="62BA9A14" w14:textId="77777777" w:rsidR="00C16AEA" w:rsidRDefault="00493E21">
      <w:pPr>
        <w:pStyle w:val="ListParagraph"/>
        <w:numPr>
          <w:ilvl w:val="0"/>
          <w:numId w:val="2"/>
        </w:numPr>
        <w:spacing w:before="60" w:after="60"/>
      </w:pPr>
      <w:r>
        <w:t>Inspection: 4 actions (8% of total)</w:t>
      </w:r>
    </w:p>
    <w:p w14:paraId="62BA9A15" w14:textId="77777777" w:rsidR="00C16AEA" w:rsidRDefault="00493E21">
      <w:pPr>
        <w:spacing w:before="80" w:after="80"/>
        <w:jc w:val="both"/>
      </w:pPr>
      <w:r>
        <w:t>While the majority of actions are preventive, the reactive ratio of 27% remains above the business target of 20%, indicating that unplanned interventions still represent a significant portion of maintenance activity.</w:t>
      </w:r>
    </w:p>
    <w:p w14:paraId="62BA9A16" w14:textId="77777777" w:rsidR="00C16AEA" w:rsidRDefault="00C16AEA">
      <w:pPr>
        <w:spacing w:before="200"/>
      </w:pPr>
    </w:p>
    <w:p w14:paraId="62BA9A17" w14:textId="77777777" w:rsidR="00C16AEA" w:rsidRDefault="00493E21">
      <w:pPr>
        <w:pStyle w:val="Heading1"/>
        <w:pBdr>
          <w:bottom w:val="single" w:sz="6" w:space="1" w:color="7B2D00"/>
        </w:pBdr>
      </w:pPr>
      <w:r>
        <w:rPr>
          <w:color w:val="7B2D00"/>
        </w:rPr>
        <w:t>4. Sensor Health &amp; Anomaly Analysis</w:t>
      </w:r>
    </w:p>
    <w:p w14:paraId="62BA9A18" w14:textId="77777777" w:rsidR="00C16AEA" w:rsidRDefault="00493E21">
      <w:pPr>
        <w:pStyle w:val="Heading2"/>
      </w:pPr>
      <w:r>
        <w:rPr>
          <w:color w:val="4A1A00"/>
        </w:rPr>
        <w:t>4.1 Anomaly Rate by Machine</w:t>
      </w:r>
    </w:p>
    <w:p w14:paraId="62BA9A19" w14:textId="77777777" w:rsidR="00C16AEA" w:rsidRDefault="00493E21">
      <w:pPr>
        <w:spacing w:before="80" w:after="80"/>
        <w:jc w:val="both"/>
      </w:pPr>
      <w:r>
        <w:t>HPU_01 and HPU_08 recorded the highest anomaly rates at 23% of sensor readings flagged as anomalous. This means that almost one in four readings from these machines indicated abnormal system behaviour. In contrast, HPU_10 recorded a 0% anomaly rate across the entire period.</w:t>
      </w:r>
    </w:p>
    <w:p w14:paraId="62BA9A1A" w14:textId="77777777" w:rsidR="00C16AEA" w:rsidRDefault="00493E21">
      <w:pPr>
        <w:spacing w:before="80" w:after="80"/>
        <w:jc w:val="both"/>
      </w:pPr>
      <w:r>
        <w:t>The average anomaly rate across the fleet was 15%, with the anomaly trend peaking in the third week of February before declining toward the end of the month. This late-February spike warrants further investigation by the ML team to determine whether it corresponds to deteriorating conditions or an isolated event cluster.</w:t>
      </w:r>
    </w:p>
    <w:p w14:paraId="62BA9A1B" w14:textId="77777777" w:rsidR="00C16AEA" w:rsidRDefault="00493E21">
      <w:pPr>
        <w:pStyle w:val="Heading2"/>
      </w:pPr>
      <w:r>
        <w:rPr>
          <w:color w:val="4A1A00"/>
        </w:rPr>
        <w:t>4.2 Sensor Channel Analysis</w:t>
      </w:r>
    </w:p>
    <w:p w14:paraId="62BA9A1C" w14:textId="77777777" w:rsidR="00C16AEA" w:rsidRDefault="00493E21">
      <w:pPr>
        <w:spacing w:before="80" w:after="80"/>
        <w:jc w:val="both"/>
      </w:pPr>
      <w:r>
        <w:t>Analysis of sensor readings in the hours leading up to failure events revealed the following degradation pattern for HPU_01:</w:t>
      </w:r>
    </w:p>
    <w:p w14:paraId="62BA9A1D" w14:textId="77777777" w:rsidR="00C16AEA" w:rsidRDefault="00493E21">
      <w:pPr>
        <w:pStyle w:val="ListParagraph"/>
        <w:numPr>
          <w:ilvl w:val="0"/>
          <w:numId w:val="2"/>
        </w:numPr>
        <w:spacing w:before="60" w:after="60"/>
      </w:pPr>
      <w:r>
        <w:t>Pressure was the earliest deviating sensor, declining from approximately 135 bar when healthy to around 107 bar as RUL approached zero</w:t>
      </w:r>
    </w:p>
    <w:p w14:paraId="62BA9A1E" w14:textId="77777777" w:rsidR="00C16AEA" w:rsidRDefault="00493E21">
      <w:pPr>
        <w:pStyle w:val="ListParagraph"/>
        <w:numPr>
          <w:ilvl w:val="0"/>
          <w:numId w:val="2"/>
        </w:numPr>
        <w:spacing w:before="60" w:after="60"/>
      </w:pPr>
      <w:r>
        <w:t>Flow rate followed pressure closely, declining from approximately 95 lpm to 75 lpm</w:t>
      </w:r>
    </w:p>
    <w:p w14:paraId="62BA9A1F" w14:textId="77777777" w:rsidR="00C16AEA" w:rsidRDefault="00493E21">
      <w:pPr>
        <w:pStyle w:val="ListParagraph"/>
        <w:numPr>
          <w:ilvl w:val="0"/>
          <w:numId w:val="2"/>
        </w:numPr>
        <w:spacing w:before="60" w:after="60"/>
      </w:pPr>
      <w:r>
        <w:t>Temperature was a lagging indicator, gradually rising as the machine approached failure</w:t>
      </w:r>
    </w:p>
    <w:p w14:paraId="62BA9A20" w14:textId="77777777" w:rsidR="00C16AEA" w:rsidRDefault="00493E21">
      <w:pPr>
        <w:pStyle w:val="ListParagraph"/>
        <w:numPr>
          <w:ilvl w:val="0"/>
          <w:numId w:val="2"/>
        </w:numPr>
        <w:spacing w:before="60" w:after="60"/>
      </w:pPr>
      <w:r>
        <w:lastRenderedPageBreak/>
        <w:t>Vibration was most diagnostic for contamination specifically, reaching 1.6g compared to 0.1–0.3g for all other failure modes</w:t>
      </w:r>
    </w:p>
    <w:p w14:paraId="62BA9A21" w14:textId="77777777" w:rsidR="00C16AEA" w:rsidRDefault="00493E21">
      <w:pPr>
        <w:spacing w:before="80" w:after="80"/>
        <w:jc w:val="both"/>
      </w:pPr>
      <w:r>
        <w:t>This finding suggests that pressure monitoring should be the primary early warning signal for maintenance engineers, with vibration serving as a specific indicator for contamination events.</w:t>
      </w:r>
    </w:p>
    <w:p w14:paraId="62BA9A22" w14:textId="77777777" w:rsidR="00C16AEA" w:rsidRDefault="00493E21">
      <w:pPr>
        <w:pStyle w:val="Heading2"/>
      </w:pPr>
      <w:r>
        <w:rPr>
          <w:color w:val="4A1A00"/>
        </w:rPr>
        <w:t>4.3 Sensor Dropout Events</w:t>
      </w:r>
    </w:p>
    <w:p w14:paraId="62BA9A23" w14:textId="77777777" w:rsidR="00C16AEA" w:rsidRDefault="00493E21">
      <w:pPr>
        <w:spacing w:before="80" w:after="80"/>
        <w:jc w:val="both"/>
      </w:pPr>
      <w:r>
        <w:t>A total of 2,590 sensor dropout events were recorded across the fleet, evenly distributed at 259 events per machine. Dropout events were handled using forward-fill interpolation in the cleaned dataset to preserve time-series continuity for downstream analysis.</w:t>
      </w:r>
    </w:p>
    <w:p w14:paraId="62BA9A24" w14:textId="77777777" w:rsidR="00C16AEA" w:rsidRDefault="00C16AEA">
      <w:pPr>
        <w:spacing w:before="200"/>
      </w:pPr>
    </w:p>
    <w:p w14:paraId="62BA9A25" w14:textId="77777777" w:rsidR="00C16AEA" w:rsidRDefault="00493E21">
      <w:pPr>
        <w:pStyle w:val="Heading1"/>
        <w:pBdr>
          <w:bottom w:val="single" w:sz="6" w:space="1" w:color="7B2D00"/>
        </w:pBdr>
      </w:pPr>
      <w:r>
        <w:rPr>
          <w:color w:val="7B2D00"/>
        </w:rPr>
        <w:t>5. Financial &amp; Operational Impact</w:t>
      </w:r>
    </w:p>
    <w:p w14:paraId="62BA9A26" w14:textId="77777777" w:rsidR="00C16AEA" w:rsidRDefault="00493E21">
      <w:pPr>
        <w:pStyle w:val="Heading2"/>
      </w:pPr>
      <w:r>
        <w:rPr>
          <w:color w:val="4A1A00"/>
        </w:rPr>
        <w:t>5.1 Cost Summary</w:t>
      </w:r>
    </w:p>
    <w:p w14:paraId="62BA9A27" w14:textId="77777777" w:rsidR="00C16AEA" w:rsidRDefault="00493E21">
      <w:pPr>
        <w:spacing w:before="80" w:after="80"/>
        <w:jc w:val="both"/>
      </w:pPr>
      <w:r>
        <w:t>The total repair cost across all 9 failure events was $183,000, with an average cost of $20,000 per failure event. HPU_08 incurred the highest single-machine repair cost at $30,000, consistent with its status as the most anomalous machine in the fleet.</w:t>
      </w:r>
    </w:p>
    <w:p w14:paraId="62BA9A28" w14:textId="77777777" w:rsidR="00C16AEA" w:rsidRDefault="00493E21">
      <w:pPr>
        <w:spacing w:before="80" w:after="80"/>
        <w:jc w:val="both"/>
      </w:pPr>
      <w:r>
        <w:t>Based on the industry benchmark of 30–50% downtime reduction through predictive maintenance, the projected cost avoidance ranges from $55,000 to $92,000 — representing a significant return on the investment in this predictive maintenance system.</w:t>
      </w:r>
    </w:p>
    <w:p w14:paraId="62BA9A29" w14:textId="77777777" w:rsidR="00C16AEA" w:rsidRDefault="00493E21">
      <w:pPr>
        <w:pStyle w:val="Heading2"/>
      </w:pPr>
      <w:r>
        <w:rPr>
          <w:color w:val="4A1A00"/>
        </w:rPr>
        <w:t>5.2 Fluid Type Comparison</w:t>
      </w:r>
    </w:p>
    <w:p w14:paraId="62BA9A2A" w14:textId="77777777" w:rsidR="00C16AEA" w:rsidRDefault="00493E21">
      <w:pPr>
        <w:spacing w:before="80" w:after="80"/>
        <w:jc w:val="both"/>
      </w:pPr>
      <w:r>
        <w:t>HPU_10, which uses synthetic fluid, recorded an anomaly rate of 0% and zero failures across the two-month period. In comparison, machines using mineral oil recorded an average anomaly rate of 16%. While causation cannot be confirmed from this dataset alone, the correlation between synthetic fluid and improved machine health is a finding worth investigating further with engineering and procurement teams.</w:t>
      </w:r>
    </w:p>
    <w:p w14:paraId="62BA9A2B" w14:textId="77777777" w:rsidR="00C16AEA" w:rsidRDefault="00493E21">
      <w:pPr>
        <w:pStyle w:val="Heading2"/>
      </w:pPr>
      <w:r>
        <w:rPr>
          <w:color w:val="4A1A00"/>
        </w:rPr>
        <w:t>5.3 KPI Summary</w:t>
      </w:r>
    </w:p>
    <w:p w14:paraId="62BA9A2C" w14:textId="77777777" w:rsidR="00C16AEA" w:rsidRDefault="00C16AE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280"/>
        <w:gridCol w:w="2000"/>
      </w:tblGrid>
      <w:tr w:rsidR="00C16AEA" w14:paraId="62BA9A31" w14:textId="77777777">
        <w:tblPrEx>
          <w:tblCellMar>
            <w:top w:w="0" w:type="dxa"/>
            <w:bottom w:w="0" w:type="dxa"/>
          </w:tblCellMar>
        </w:tblPrEx>
        <w:tc>
          <w:tcPr>
            <w:tcW w:w="2800" w:type="dxa"/>
            <w:tcBorders>
              <w:top w:val="single" w:sz="1" w:space="0" w:color="7B2D00"/>
              <w:left w:val="single" w:sz="1" w:space="0" w:color="7B2D00"/>
              <w:bottom w:val="single" w:sz="1" w:space="0" w:color="7B2D00"/>
              <w:right w:val="single" w:sz="1" w:space="0" w:color="7B2D00"/>
            </w:tcBorders>
            <w:shd w:val="clear" w:color="auto" w:fill="7B2D00"/>
            <w:tcMar>
              <w:top w:w="80" w:type="dxa"/>
              <w:left w:w="120" w:type="dxa"/>
              <w:bottom w:w="80" w:type="dxa"/>
              <w:right w:w="120" w:type="dxa"/>
            </w:tcMar>
          </w:tcPr>
          <w:p w14:paraId="62BA9A2D" w14:textId="77777777" w:rsidR="00C16AEA" w:rsidRDefault="00493E21">
            <w:r>
              <w:rPr>
                <w:b/>
                <w:bCs/>
                <w:color w:val="FFFFFF"/>
                <w:sz w:val="20"/>
                <w:szCs w:val="20"/>
              </w:rPr>
              <w:t>KPI</w:t>
            </w:r>
          </w:p>
        </w:tc>
        <w:tc>
          <w:tcPr>
            <w:tcW w:w="2280" w:type="dxa"/>
            <w:tcBorders>
              <w:top w:val="single" w:sz="1" w:space="0" w:color="7B2D00"/>
              <w:left w:val="single" w:sz="1" w:space="0" w:color="7B2D00"/>
              <w:bottom w:val="single" w:sz="1" w:space="0" w:color="7B2D00"/>
              <w:right w:val="single" w:sz="1" w:space="0" w:color="7B2D00"/>
            </w:tcBorders>
            <w:shd w:val="clear" w:color="auto" w:fill="7B2D00"/>
            <w:tcMar>
              <w:top w:w="80" w:type="dxa"/>
              <w:left w:w="120" w:type="dxa"/>
              <w:bottom w:w="80" w:type="dxa"/>
              <w:right w:w="120" w:type="dxa"/>
            </w:tcMar>
          </w:tcPr>
          <w:p w14:paraId="62BA9A2E" w14:textId="77777777" w:rsidR="00C16AEA" w:rsidRDefault="00493E21">
            <w:r>
              <w:rPr>
                <w:b/>
                <w:bCs/>
                <w:color w:val="FFFFFF"/>
                <w:sz w:val="20"/>
                <w:szCs w:val="20"/>
              </w:rPr>
              <w:t>Target</w:t>
            </w:r>
          </w:p>
        </w:tc>
        <w:tc>
          <w:tcPr>
            <w:tcW w:w="2280" w:type="dxa"/>
            <w:tcBorders>
              <w:top w:val="single" w:sz="1" w:space="0" w:color="7B2D00"/>
              <w:left w:val="single" w:sz="1" w:space="0" w:color="7B2D00"/>
              <w:bottom w:val="single" w:sz="1" w:space="0" w:color="7B2D00"/>
              <w:right w:val="single" w:sz="1" w:space="0" w:color="7B2D00"/>
            </w:tcBorders>
            <w:shd w:val="clear" w:color="auto" w:fill="7B2D00"/>
            <w:tcMar>
              <w:top w:w="80" w:type="dxa"/>
              <w:left w:w="120" w:type="dxa"/>
              <w:bottom w:w="80" w:type="dxa"/>
              <w:right w:w="120" w:type="dxa"/>
            </w:tcMar>
          </w:tcPr>
          <w:p w14:paraId="62BA9A2F" w14:textId="77777777" w:rsidR="00C16AEA" w:rsidRDefault="00493E21">
            <w:r>
              <w:rPr>
                <w:b/>
                <w:bCs/>
                <w:color w:val="FFFFFF"/>
                <w:sz w:val="20"/>
                <w:szCs w:val="20"/>
              </w:rPr>
              <w:t>Current Value</w:t>
            </w:r>
          </w:p>
        </w:tc>
        <w:tc>
          <w:tcPr>
            <w:tcW w:w="2000" w:type="dxa"/>
            <w:tcBorders>
              <w:top w:val="single" w:sz="1" w:space="0" w:color="7B2D00"/>
              <w:left w:val="single" w:sz="1" w:space="0" w:color="7B2D00"/>
              <w:bottom w:val="single" w:sz="1" w:space="0" w:color="7B2D00"/>
              <w:right w:val="single" w:sz="1" w:space="0" w:color="7B2D00"/>
            </w:tcBorders>
            <w:shd w:val="clear" w:color="auto" w:fill="7B2D00"/>
            <w:tcMar>
              <w:top w:w="80" w:type="dxa"/>
              <w:left w:w="120" w:type="dxa"/>
              <w:bottom w:w="80" w:type="dxa"/>
              <w:right w:w="120" w:type="dxa"/>
            </w:tcMar>
          </w:tcPr>
          <w:p w14:paraId="62BA9A30" w14:textId="77777777" w:rsidR="00C16AEA" w:rsidRDefault="00493E21">
            <w:r>
              <w:rPr>
                <w:b/>
                <w:bCs/>
                <w:color w:val="FFFFFF"/>
                <w:sz w:val="20"/>
                <w:szCs w:val="20"/>
              </w:rPr>
              <w:t>Status</w:t>
            </w:r>
          </w:p>
        </w:tc>
      </w:tr>
      <w:tr w:rsidR="00C16AEA" w14:paraId="62BA9A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32" w14:textId="77777777" w:rsidR="00C16AEA" w:rsidRDefault="00493E21">
            <w:r>
              <w:rPr>
                <w:color w:val="000000"/>
                <w:sz w:val="20"/>
                <w:szCs w:val="20"/>
              </w:rPr>
              <w:t>Reactive-to-Proactive Ratio</w:t>
            </w:r>
          </w:p>
        </w:tc>
        <w:tc>
          <w:tcPr>
            <w:tcW w:w="228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33" w14:textId="77777777" w:rsidR="00C16AEA" w:rsidRDefault="00493E21">
            <w:r>
              <w:rPr>
                <w:color w:val="000000"/>
                <w:sz w:val="20"/>
                <w:szCs w:val="20"/>
              </w:rPr>
              <w:t>80% / 20%</w:t>
            </w:r>
          </w:p>
        </w:tc>
        <w:tc>
          <w:tcPr>
            <w:tcW w:w="228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34" w14:textId="77777777" w:rsidR="00C16AEA" w:rsidRDefault="00493E21">
            <w:r>
              <w:rPr>
                <w:color w:val="000000"/>
                <w:sz w:val="20"/>
                <w:szCs w:val="20"/>
              </w:rPr>
              <w:t>73% / 27%</w:t>
            </w:r>
          </w:p>
        </w:tc>
        <w:tc>
          <w:tcPr>
            <w:tcW w:w="20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35" w14:textId="77777777" w:rsidR="00C16AEA" w:rsidRDefault="00493E21">
            <w:r>
              <w:rPr>
                <w:color w:val="E65100"/>
                <w:sz w:val="20"/>
                <w:szCs w:val="20"/>
              </w:rPr>
              <w:t>Needs Attention</w:t>
            </w:r>
          </w:p>
        </w:tc>
      </w:tr>
      <w:tr w:rsidR="00C16AEA" w14:paraId="62BA9A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37" w14:textId="77777777" w:rsidR="00C16AEA" w:rsidRDefault="00493E21">
            <w:r>
              <w:rPr>
                <w:color w:val="000000"/>
                <w:sz w:val="20"/>
                <w:szCs w:val="20"/>
              </w:rPr>
              <w:t>Total Downtime Reduction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38" w14:textId="77777777" w:rsidR="00C16AEA" w:rsidRDefault="00493E21">
            <w:r>
              <w:rPr>
                <w:color w:val="000000"/>
                <w:sz w:val="20"/>
                <w:szCs w:val="20"/>
              </w:rPr>
              <w:t>30–50%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39" w14:textId="77777777" w:rsidR="00C16AEA" w:rsidRDefault="00493E21">
            <w:r>
              <w:rPr>
                <w:color w:val="000000"/>
                <w:sz w:val="20"/>
                <w:szCs w:val="20"/>
              </w:rPr>
              <w:t>Baseline: 106.7h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3A" w14:textId="77777777" w:rsidR="00C16AEA" w:rsidRDefault="00493E21">
            <w:r>
              <w:rPr>
                <w:color w:val="2E7D32"/>
                <w:sz w:val="20"/>
                <w:szCs w:val="20"/>
              </w:rPr>
              <w:t>On Track</w:t>
            </w:r>
          </w:p>
        </w:tc>
      </w:tr>
      <w:tr w:rsidR="00C16AEA" w14:paraId="62BA9A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3C" w14:textId="77777777" w:rsidR="00C16AEA" w:rsidRDefault="00493E21">
            <w:proofErr w:type="spellStart"/>
            <w:r>
              <w:rPr>
                <w:color w:val="000000"/>
                <w:sz w:val="20"/>
                <w:szCs w:val="20"/>
              </w:rPr>
              <w:t>Avg</w:t>
            </w:r>
            <w:proofErr w:type="spellEnd"/>
            <w:r>
              <w:rPr>
                <w:color w:val="000000"/>
                <w:sz w:val="20"/>
                <w:szCs w:val="20"/>
              </w:rPr>
              <w:t xml:space="preserve"> Cost Per Failure</w:t>
            </w:r>
          </w:p>
        </w:tc>
        <w:tc>
          <w:tcPr>
            <w:tcW w:w="228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3D" w14:textId="77777777" w:rsidR="00C16AEA" w:rsidRDefault="00493E21">
            <w:r>
              <w:rPr>
                <w:color w:val="000000"/>
                <w:sz w:val="20"/>
                <w:szCs w:val="20"/>
              </w:rPr>
              <w:t>&lt;$25,000</w:t>
            </w:r>
          </w:p>
        </w:tc>
        <w:tc>
          <w:tcPr>
            <w:tcW w:w="228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3E" w14:textId="77777777" w:rsidR="00C16AEA" w:rsidRDefault="00493E21">
            <w:r>
              <w:rPr>
                <w:color w:val="000000"/>
                <w:sz w:val="20"/>
                <w:szCs w:val="20"/>
              </w:rPr>
              <w:t>$20,000</w:t>
            </w:r>
          </w:p>
        </w:tc>
        <w:tc>
          <w:tcPr>
            <w:tcW w:w="20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3F" w14:textId="77777777" w:rsidR="00C16AEA" w:rsidRDefault="00493E21">
            <w:r>
              <w:rPr>
                <w:color w:val="2E7D32"/>
                <w:sz w:val="20"/>
                <w:szCs w:val="20"/>
              </w:rPr>
              <w:t>On Track</w:t>
            </w:r>
          </w:p>
        </w:tc>
      </w:tr>
      <w:tr w:rsidR="00C16AEA" w14:paraId="62BA9A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41" w14:textId="77777777" w:rsidR="00C16AEA" w:rsidRDefault="00493E21">
            <w:r>
              <w:rPr>
                <w:color w:val="000000"/>
                <w:sz w:val="20"/>
                <w:szCs w:val="20"/>
              </w:rPr>
              <w:t>Unplanned Failure Baseline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42" w14:textId="77777777" w:rsidR="00C16AEA" w:rsidRDefault="00493E21">
            <w:r>
              <w:rPr>
                <w:color w:val="000000"/>
                <w:sz w:val="20"/>
                <w:szCs w:val="20"/>
              </w:rPr>
              <w:t>$50,000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43" w14:textId="77777777" w:rsidR="00C16AEA" w:rsidRDefault="00493E21">
            <w:r>
              <w:rPr>
                <w:color w:val="000000"/>
                <w:sz w:val="20"/>
                <w:szCs w:val="20"/>
              </w:rPr>
              <w:t xml:space="preserve">$20,000 </w:t>
            </w:r>
            <w:proofErr w:type="spellStart"/>
            <w:r>
              <w:rPr>
                <w:color w:val="000000"/>
                <w:sz w:val="20"/>
                <w:szCs w:val="20"/>
              </w:rPr>
              <w:t>avg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9A44" w14:textId="77777777" w:rsidR="00C16AEA" w:rsidRDefault="00493E21">
            <w:r>
              <w:rPr>
                <w:color w:val="2E7D32"/>
                <w:sz w:val="20"/>
                <w:szCs w:val="20"/>
              </w:rPr>
              <w:t>On Track</w:t>
            </w:r>
          </w:p>
        </w:tc>
      </w:tr>
      <w:tr w:rsidR="00C16AEA" w14:paraId="62BA9A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46" w14:textId="77777777" w:rsidR="00C16AEA" w:rsidRDefault="00493E21">
            <w:r>
              <w:rPr>
                <w:color w:val="000000"/>
                <w:sz w:val="20"/>
                <w:szCs w:val="20"/>
              </w:rPr>
              <w:t>Safety Stock Reduction</w:t>
            </w:r>
          </w:p>
        </w:tc>
        <w:tc>
          <w:tcPr>
            <w:tcW w:w="228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47" w14:textId="77777777" w:rsidR="00C16AEA" w:rsidRDefault="00493E21">
            <w:r>
              <w:rPr>
                <w:color w:val="000000"/>
                <w:sz w:val="20"/>
                <w:szCs w:val="20"/>
              </w:rPr>
              <w:t>25%</w:t>
            </w:r>
          </w:p>
        </w:tc>
        <w:tc>
          <w:tcPr>
            <w:tcW w:w="228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48" w14:textId="77777777" w:rsidR="00C16AEA" w:rsidRDefault="00493E21">
            <w:r>
              <w:rPr>
                <w:color w:val="000000"/>
                <w:sz w:val="20"/>
                <w:szCs w:val="20"/>
              </w:rPr>
              <w:t>Pending ML output</w:t>
            </w:r>
          </w:p>
        </w:tc>
        <w:tc>
          <w:tcPr>
            <w:tcW w:w="2000" w:type="dxa"/>
            <w:tcBorders>
              <w:top w:val="single" w:sz="1" w:space="0" w:color="CCCCCC"/>
              <w:left w:val="single" w:sz="1" w:space="0" w:color="CCCCCC"/>
              <w:bottom w:val="single" w:sz="1" w:space="0" w:color="CCCCCC"/>
              <w:right w:val="single" w:sz="1" w:space="0" w:color="CCCCCC"/>
            </w:tcBorders>
            <w:shd w:val="clear" w:color="auto" w:fill="FDF5F0"/>
            <w:tcMar>
              <w:top w:w="80" w:type="dxa"/>
              <w:left w:w="120" w:type="dxa"/>
              <w:bottom w:w="80" w:type="dxa"/>
              <w:right w:w="120" w:type="dxa"/>
            </w:tcMar>
          </w:tcPr>
          <w:p w14:paraId="62BA9A49" w14:textId="77777777" w:rsidR="00C16AEA" w:rsidRDefault="00493E21">
            <w:r>
              <w:rPr>
                <w:color w:val="E65100"/>
                <w:sz w:val="20"/>
                <w:szCs w:val="20"/>
              </w:rPr>
              <w:t>Needs Attention</w:t>
            </w:r>
          </w:p>
        </w:tc>
      </w:tr>
    </w:tbl>
    <w:p w14:paraId="62BA9A4B" w14:textId="77777777" w:rsidR="00C16AEA" w:rsidRDefault="00C16AEA">
      <w:pPr>
        <w:spacing w:before="200"/>
      </w:pPr>
    </w:p>
    <w:p w14:paraId="68D6E3E2" w14:textId="77777777" w:rsidR="008861AF" w:rsidRDefault="008861AF">
      <w:pPr>
        <w:spacing w:before="200"/>
      </w:pPr>
    </w:p>
    <w:p w14:paraId="402F27DE" w14:textId="77777777" w:rsidR="008861AF" w:rsidRDefault="008861AF">
      <w:pPr>
        <w:spacing w:before="200"/>
      </w:pPr>
    </w:p>
    <w:p w14:paraId="62BA9A4C" w14:textId="77777777" w:rsidR="00C16AEA" w:rsidRDefault="00493E21">
      <w:pPr>
        <w:pStyle w:val="Heading1"/>
        <w:pBdr>
          <w:bottom w:val="single" w:sz="6" w:space="1" w:color="7B2D00"/>
        </w:pBdr>
      </w:pPr>
      <w:r>
        <w:rPr>
          <w:color w:val="7B2D00"/>
        </w:rPr>
        <w:lastRenderedPageBreak/>
        <w:t>6. Key Findings &amp; Recommendations</w:t>
      </w:r>
    </w:p>
    <w:p w14:paraId="62BA9A4D" w14:textId="77777777" w:rsidR="00C16AEA" w:rsidRDefault="00493E21">
      <w:pPr>
        <w:pStyle w:val="Heading2"/>
      </w:pPr>
      <w:r>
        <w:rPr>
          <w:color w:val="4A1A00"/>
        </w:rPr>
        <w:t>6.1 Key Findings</w:t>
      </w:r>
    </w:p>
    <w:p w14:paraId="62BA9A4E" w14:textId="77777777" w:rsidR="00C16AEA" w:rsidRDefault="00493E21">
      <w:pPr>
        <w:pStyle w:val="ListParagraph"/>
        <w:numPr>
          <w:ilvl w:val="0"/>
          <w:numId w:val="2"/>
        </w:numPr>
        <w:spacing w:before="60" w:after="60"/>
      </w:pPr>
      <w:r>
        <w:t>Pump wear is the most critical failure mode by frequency and cost and should be the primary focus of predictive intervention</w:t>
      </w:r>
    </w:p>
    <w:p w14:paraId="62BA9A4F" w14:textId="77777777" w:rsidR="00C16AEA" w:rsidRDefault="00493E21">
      <w:pPr>
        <w:pStyle w:val="ListParagraph"/>
        <w:numPr>
          <w:ilvl w:val="0"/>
          <w:numId w:val="2"/>
        </w:numPr>
        <w:spacing w:before="60" w:after="60"/>
      </w:pPr>
      <w:r>
        <w:t>HPU_08 is the highest risk machine in the fleet, with the highest anomaly rate (23%) and highest repair cost ($30K)</w:t>
      </w:r>
    </w:p>
    <w:p w14:paraId="62BA9A50" w14:textId="77777777" w:rsidR="00C16AEA" w:rsidRDefault="00493E21">
      <w:pPr>
        <w:pStyle w:val="ListParagraph"/>
        <w:numPr>
          <w:ilvl w:val="0"/>
          <w:numId w:val="2"/>
        </w:numPr>
        <w:spacing w:before="60" w:after="60"/>
      </w:pPr>
      <w:r>
        <w:t>Pressure is the earliest warning sensor, making it the most valuable signal for real-time monitoring and alert thresholds</w:t>
      </w:r>
    </w:p>
    <w:p w14:paraId="62BA9A51" w14:textId="77777777" w:rsidR="00C16AEA" w:rsidRDefault="00493E21">
      <w:pPr>
        <w:pStyle w:val="ListParagraph"/>
        <w:numPr>
          <w:ilvl w:val="0"/>
          <w:numId w:val="2"/>
        </w:numPr>
        <w:spacing w:before="60" w:after="60"/>
      </w:pPr>
      <w:r>
        <w:t>Seals are the most frequently replaced component, suggesting systemic seal degradation across the fleet</w:t>
      </w:r>
    </w:p>
    <w:p w14:paraId="62BA9A52" w14:textId="77777777" w:rsidR="00C16AEA" w:rsidRDefault="00493E21">
      <w:pPr>
        <w:pStyle w:val="ListParagraph"/>
        <w:numPr>
          <w:ilvl w:val="0"/>
          <w:numId w:val="2"/>
        </w:numPr>
        <w:spacing w:before="60" w:after="60"/>
      </w:pPr>
      <w:r>
        <w:t>The reactive maintenance ratio of 27% exceeds the 20% target, indicating room for improvement in proactive scheduling</w:t>
      </w:r>
    </w:p>
    <w:p w14:paraId="62BA9A53" w14:textId="77777777" w:rsidR="00C16AEA" w:rsidRDefault="00493E21">
      <w:pPr>
        <w:pStyle w:val="ListParagraph"/>
        <w:numPr>
          <w:ilvl w:val="0"/>
          <w:numId w:val="2"/>
        </w:numPr>
        <w:spacing w:before="60" w:after="60"/>
      </w:pPr>
      <w:r>
        <w:t>HPU_10 with synthetic fluid shows zero anomalies and zero failures — a potential model for fleet-wide fluid strategy review</w:t>
      </w:r>
    </w:p>
    <w:p w14:paraId="62BA9A54" w14:textId="77777777" w:rsidR="00C16AEA" w:rsidRDefault="00493E21">
      <w:pPr>
        <w:pStyle w:val="ListParagraph"/>
        <w:numPr>
          <w:ilvl w:val="0"/>
          <w:numId w:val="2"/>
        </w:numPr>
        <w:spacing w:before="60" w:after="60"/>
      </w:pPr>
      <w:r>
        <w:t>Contamination is uniquely identifiable by vibration — a vibration threshold alert could provide early contamination detection</w:t>
      </w:r>
    </w:p>
    <w:p w14:paraId="62BA9A55" w14:textId="77777777" w:rsidR="00C16AEA" w:rsidRDefault="00493E21">
      <w:pPr>
        <w:pStyle w:val="Heading2"/>
      </w:pPr>
      <w:r>
        <w:rPr>
          <w:color w:val="4A1A00"/>
        </w:rPr>
        <w:t>6.2 Recommendations</w:t>
      </w:r>
    </w:p>
    <w:p w14:paraId="62BA9A56" w14:textId="77777777" w:rsidR="00C16AEA" w:rsidRDefault="00493E21">
      <w:pPr>
        <w:pStyle w:val="ListParagraph"/>
        <w:numPr>
          <w:ilvl w:val="0"/>
          <w:numId w:val="2"/>
        </w:numPr>
        <w:spacing w:before="60" w:after="60"/>
      </w:pPr>
      <w:r>
        <w:t>Implement pressure-based alert thresholds for HPU_01 and HPU_08 as the earliest failure warning signal</w:t>
      </w:r>
    </w:p>
    <w:p w14:paraId="62BA9A57" w14:textId="77777777" w:rsidR="00C16AEA" w:rsidRDefault="00493E21">
      <w:pPr>
        <w:pStyle w:val="ListParagraph"/>
        <w:numPr>
          <w:ilvl w:val="0"/>
          <w:numId w:val="2"/>
        </w:numPr>
        <w:spacing w:before="60" w:after="60"/>
      </w:pPr>
      <w:r>
        <w:t>Prioritise HPU_08 for investigation — highest repair cost, highest anomaly rate, and only 2 preventive actions in the period</w:t>
      </w:r>
    </w:p>
    <w:p w14:paraId="62BA9A58" w14:textId="77777777" w:rsidR="00C16AEA" w:rsidRDefault="00493E21">
      <w:pPr>
        <w:pStyle w:val="ListParagraph"/>
        <w:numPr>
          <w:ilvl w:val="0"/>
          <w:numId w:val="2"/>
        </w:numPr>
        <w:spacing w:before="60" w:after="60"/>
      </w:pPr>
      <w:r>
        <w:t>Introduce a proactive seal replacement programme across the fleet given the high seal replacement frequency</w:t>
      </w:r>
    </w:p>
    <w:p w14:paraId="62BA9A59" w14:textId="77777777" w:rsidR="00C16AEA" w:rsidRDefault="00493E21">
      <w:pPr>
        <w:pStyle w:val="ListParagraph"/>
        <w:numPr>
          <w:ilvl w:val="0"/>
          <w:numId w:val="2"/>
        </w:numPr>
        <w:spacing w:before="60" w:after="60"/>
      </w:pPr>
      <w:r>
        <w:t>Evaluate synthetic fluid adoption across additional machines based on HPU_10 performance data</w:t>
      </w:r>
    </w:p>
    <w:p w14:paraId="62BA9A5A" w14:textId="77777777" w:rsidR="00C16AEA" w:rsidRDefault="00493E21">
      <w:pPr>
        <w:pStyle w:val="ListParagraph"/>
        <w:numPr>
          <w:ilvl w:val="0"/>
          <w:numId w:val="2"/>
        </w:numPr>
        <w:spacing w:before="60" w:after="60"/>
      </w:pPr>
      <w:r>
        <w:t>Reduce reactive maintenance ratio from 27% to the 20% target by converting identified high-risk periods into planned maintenance windows</w:t>
      </w:r>
    </w:p>
    <w:p w14:paraId="62BA9A5B" w14:textId="77777777" w:rsidR="00C16AEA" w:rsidRDefault="00493E21">
      <w:pPr>
        <w:pStyle w:val="ListParagraph"/>
        <w:numPr>
          <w:ilvl w:val="0"/>
          <w:numId w:val="2"/>
        </w:numPr>
        <w:spacing w:before="60" w:after="60"/>
      </w:pPr>
      <w:r>
        <w:t>Investigate the late-February anomaly rate spike to determine whether it signals an emerging failure pattern</w:t>
      </w:r>
    </w:p>
    <w:p w14:paraId="62BA9A5C" w14:textId="77777777" w:rsidR="00C16AEA" w:rsidRDefault="00C16AEA">
      <w:pPr>
        <w:spacing w:before="200"/>
      </w:pPr>
    </w:p>
    <w:p w14:paraId="62BA9A5D" w14:textId="77777777" w:rsidR="00C16AEA" w:rsidRDefault="00493E21">
      <w:pPr>
        <w:pStyle w:val="Heading1"/>
        <w:pBdr>
          <w:bottom w:val="single" w:sz="6" w:space="1" w:color="7B2D00"/>
        </w:pBdr>
      </w:pPr>
      <w:r>
        <w:rPr>
          <w:color w:val="7B2D00"/>
        </w:rPr>
        <w:t>7. Conclusion</w:t>
      </w:r>
    </w:p>
    <w:p w14:paraId="62BA9A5E" w14:textId="77777777" w:rsidR="00C16AEA" w:rsidRDefault="00493E21">
      <w:pPr>
        <w:spacing w:before="80" w:after="80"/>
        <w:jc w:val="both"/>
      </w:pPr>
      <w:r>
        <w:t>This data analytics investigation has successfully transformed 864,000 rows of raw sensor telemetry into structured, actionable insights for the Bosch Rexroth AG maintenance team. Through systematic data ingestion, cleaning, transformation, and visualisation, the analysis has identified clear failure patterns, high-risk machines, and early warning sensor signals that can directly inform the predictive maintenance strategy.</w:t>
      </w:r>
    </w:p>
    <w:p w14:paraId="62BA9A60" w14:textId="08B3F010" w:rsidR="00C16AEA" w:rsidRDefault="00493E21" w:rsidP="008861AF">
      <w:pPr>
        <w:spacing w:before="80" w:after="80"/>
        <w:jc w:val="both"/>
      </w:pPr>
      <w:r>
        <w:t>The findings presented in this report provide the data foundation for the machine learning team to build failure classification and RUL prediction models. Combined with the Power BI dashboards, these insights position Bosch Rexroth AG to make a meaningful shift from reactive to proactive, data-driven maintenance operations.</w:t>
      </w:r>
    </w:p>
    <w:sectPr w:rsidR="00C16AE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00C84" w14:textId="77777777" w:rsidR="00493E21" w:rsidRDefault="00493E21">
      <w:r>
        <w:separator/>
      </w:r>
    </w:p>
  </w:endnote>
  <w:endnote w:type="continuationSeparator" w:id="0">
    <w:p w14:paraId="1E8500F3" w14:textId="77777777" w:rsidR="00493E21" w:rsidRDefault="00493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A9A61" w14:textId="5530A9BB" w:rsidR="00C16AEA" w:rsidRDefault="00493E21">
    <w:pPr>
      <w:jc w:val="center"/>
    </w:pPr>
    <w:r>
      <w:rPr>
        <w:color w:val="888888"/>
        <w:sz w:val="18"/>
        <w:szCs w:val="18"/>
      </w:rPr>
      <w:t xml:space="preserve">Bosch Rexroth AG | Predictive Maintenance | Data Analytics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81B5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91260" w14:textId="77777777" w:rsidR="00493E21" w:rsidRDefault="00493E21">
      <w:r>
        <w:separator/>
      </w:r>
    </w:p>
  </w:footnote>
  <w:footnote w:type="continuationSeparator" w:id="0">
    <w:p w14:paraId="25825BCD" w14:textId="77777777" w:rsidR="00493E21" w:rsidRDefault="00493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C3299"/>
    <w:multiLevelType w:val="hybridMultilevel"/>
    <w:tmpl w:val="14D0E8F0"/>
    <w:lvl w:ilvl="0" w:tplc="D9C62E74">
      <w:start w:val="1"/>
      <w:numFmt w:val="bullet"/>
      <w:lvlText w:val="●"/>
      <w:lvlJc w:val="left"/>
      <w:pPr>
        <w:ind w:left="720" w:hanging="360"/>
      </w:pPr>
    </w:lvl>
    <w:lvl w:ilvl="1" w:tplc="786891EC">
      <w:start w:val="1"/>
      <w:numFmt w:val="bullet"/>
      <w:lvlText w:val="○"/>
      <w:lvlJc w:val="left"/>
      <w:pPr>
        <w:ind w:left="1440" w:hanging="360"/>
      </w:pPr>
    </w:lvl>
    <w:lvl w:ilvl="2" w:tplc="AABA4FC2">
      <w:start w:val="1"/>
      <w:numFmt w:val="bullet"/>
      <w:lvlText w:val="■"/>
      <w:lvlJc w:val="left"/>
      <w:pPr>
        <w:ind w:left="2160" w:hanging="360"/>
      </w:pPr>
    </w:lvl>
    <w:lvl w:ilvl="3" w:tplc="238AD9BE">
      <w:start w:val="1"/>
      <w:numFmt w:val="bullet"/>
      <w:lvlText w:val="●"/>
      <w:lvlJc w:val="left"/>
      <w:pPr>
        <w:ind w:left="2880" w:hanging="360"/>
      </w:pPr>
    </w:lvl>
    <w:lvl w:ilvl="4" w:tplc="E34C5664">
      <w:start w:val="1"/>
      <w:numFmt w:val="bullet"/>
      <w:lvlText w:val="○"/>
      <w:lvlJc w:val="left"/>
      <w:pPr>
        <w:ind w:left="3600" w:hanging="360"/>
      </w:pPr>
    </w:lvl>
    <w:lvl w:ilvl="5" w:tplc="CE12135E">
      <w:start w:val="1"/>
      <w:numFmt w:val="bullet"/>
      <w:lvlText w:val="■"/>
      <w:lvlJc w:val="left"/>
      <w:pPr>
        <w:ind w:left="4320" w:hanging="360"/>
      </w:pPr>
    </w:lvl>
    <w:lvl w:ilvl="6" w:tplc="40D475AA">
      <w:start w:val="1"/>
      <w:numFmt w:val="bullet"/>
      <w:lvlText w:val="●"/>
      <w:lvlJc w:val="left"/>
      <w:pPr>
        <w:ind w:left="5040" w:hanging="360"/>
      </w:pPr>
    </w:lvl>
    <w:lvl w:ilvl="7" w:tplc="58702F74">
      <w:start w:val="1"/>
      <w:numFmt w:val="bullet"/>
      <w:lvlText w:val="●"/>
      <w:lvlJc w:val="left"/>
      <w:pPr>
        <w:ind w:left="5760" w:hanging="360"/>
      </w:pPr>
    </w:lvl>
    <w:lvl w:ilvl="8" w:tplc="BA4445F8">
      <w:start w:val="1"/>
      <w:numFmt w:val="bullet"/>
      <w:lvlText w:val="●"/>
      <w:lvlJc w:val="left"/>
      <w:pPr>
        <w:ind w:left="6480" w:hanging="360"/>
      </w:pPr>
    </w:lvl>
  </w:abstractNum>
  <w:abstractNum w:abstractNumId="1" w15:restartNumberingAfterBreak="0">
    <w:nsid w:val="53B22349"/>
    <w:multiLevelType w:val="hybridMultilevel"/>
    <w:tmpl w:val="C1185A9C"/>
    <w:lvl w:ilvl="0" w:tplc="7576974A">
      <w:start w:val="1"/>
      <w:numFmt w:val="bullet"/>
      <w:lvlText w:val="•"/>
      <w:lvlJc w:val="left"/>
      <w:pPr>
        <w:ind w:left="720" w:hanging="360"/>
      </w:pPr>
    </w:lvl>
    <w:lvl w:ilvl="1" w:tplc="8C7C0878">
      <w:numFmt w:val="decimal"/>
      <w:lvlText w:val=""/>
      <w:lvlJc w:val="left"/>
    </w:lvl>
    <w:lvl w:ilvl="2" w:tplc="3DBCD48A">
      <w:numFmt w:val="decimal"/>
      <w:lvlText w:val=""/>
      <w:lvlJc w:val="left"/>
    </w:lvl>
    <w:lvl w:ilvl="3" w:tplc="3132C0D0">
      <w:numFmt w:val="decimal"/>
      <w:lvlText w:val=""/>
      <w:lvlJc w:val="left"/>
    </w:lvl>
    <w:lvl w:ilvl="4" w:tplc="63DED1D8">
      <w:numFmt w:val="decimal"/>
      <w:lvlText w:val=""/>
      <w:lvlJc w:val="left"/>
    </w:lvl>
    <w:lvl w:ilvl="5" w:tplc="C41042F6">
      <w:numFmt w:val="decimal"/>
      <w:lvlText w:val=""/>
      <w:lvlJc w:val="left"/>
    </w:lvl>
    <w:lvl w:ilvl="6" w:tplc="26AE5D66">
      <w:numFmt w:val="decimal"/>
      <w:lvlText w:val=""/>
      <w:lvlJc w:val="left"/>
    </w:lvl>
    <w:lvl w:ilvl="7" w:tplc="A7FE4BBE">
      <w:numFmt w:val="decimal"/>
      <w:lvlText w:val=""/>
      <w:lvlJc w:val="left"/>
    </w:lvl>
    <w:lvl w:ilvl="8" w:tplc="17F8DE62">
      <w:numFmt w:val="decimal"/>
      <w:lvlText w:val=""/>
      <w:lvlJc w:val="left"/>
    </w:lvl>
  </w:abstractNum>
  <w:num w:numId="1" w16cid:durableId="1511678922">
    <w:abstractNumId w:val="0"/>
    <w:lvlOverride w:ilvl="0">
      <w:startOverride w:val="1"/>
    </w:lvlOverride>
  </w:num>
  <w:num w:numId="2" w16cid:durableId="7705099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AEA"/>
    <w:rsid w:val="00493E21"/>
    <w:rsid w:val="008861AF"/>
    <w:rsid w:val="00981B59"/>
    <w:rsid w:val="00C16AEA"/>
    <w:rsid w:val="00DA21A0"/>
    <w:rsid w:val="00DB2C69"/>
    <w:rsid w:val="00FD74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99DB"/>
  <w15:docId w15:val="{B3182C5B-A49D-4A6F-9858-4EBA15F6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21A0"/>
    <w:pPr>
      <w:tabs>
        <w:tab w:val="center" w:pos="4513"/>
        <w:tab w:val="right" w:pos="9026"/>
      </w:tabs>
    </w:pPr>
  </w:style>
  <w:style w:type="character" w:customStyle="1" w:styleId="HeaderChar">
    <w:name w:val="Header Char"/>
    <w:basedOn w:val="DefaultParagraphFont"/>
    <w:link w:val="Header"/>
    <w:uiPriority w:val="99"/>
    <w:rsid w:val="00DA21A0"/>
  </w:style>
  <w:style w:type="paragraph" w:styleId="Footer">
    <w:name w:val="footer"/>
    <w:basedOn w:val="Normal"/>
    <w:link w:val="FooterChar"/>
    <w:uiPriority w:val="99"/>
    <w:unhideWhenUsed/>
    <w:rsid w:val="00DA21A0"/>
    <w:pPr>
      <w:tabs>
        <w:tab w:val="center" w:pos="4513"/>
        <w:tab w:val="right" w:pos="9026"/>
      </w:tabs>
    </w:pPr>
  </w:style>
  <w:style w:type="character" w:customStyle="1" w:styleId="FooterChar">
    <w:name w:val="Footer Char"/>
    <w:basedOn w:val="DefaultParagraphFont"/>
    <w:link w:val="Footer"/>
    <w:uiPriority w:val="99"/>
    <w:rsid w:val="00DA2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1367</Words>
  <Characters>7796</Characters>
  <Application>Microsoft Office Word</Application>
  <DocSecurity>0</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Osoba</cp:lastModifiedBy>
  <cp:revision>6</cp:revision>
  <dcterms:created xsi:type="dcterms:W3CDTF">2026-06-04T01:31:00Z</dcterms:created>
  <dcterms:modified xsi:type="dcterms:W3CDTF">2026-06-04T02:24:00Z</dcterms:modified>
</cp:coreProperties>
</file>