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817148" cy="548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IngLi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148" cy="54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2960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6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A1153D"/>
          <w:sz w:val="30"/>
        </w:rPr>
        <w:t>UNIVERSIDAD PANAMERICANA · Facultad de Ingeniería</w:t>
      </w:r>
    </w:p>
    <w:p>
      <w:r>
        <w:rPr>
          <w:color w:val="B19147"/>
          <w:sz w:val="18"/>
        </w:rPr>
        <w:t>Syllabus · Academia de Cómputo · COM102</w:t>
      </w:r>
    </w:p>
    <w:p>
      <w:r>
        <w:rPr>
          <w:color w:val="1A1A1A"/>
          <w:sz w:val="17"/>
        </w:rPr>
        <w:t>Versión independiente de fechas: la agenda y la evaluación usan «Semana N» relativa al inicio del semestre.</w:t>
      </w:r>
    </w:p>
    <w:p>
      <w:pPr>
        <w:spacing w:before="160"/>
      </w:pPr>
      <w:r>
        <w:rPr>
          <w:b/>
          <w:color w:val="0F5446"/>
          <w:sz w:val="24"/>
        </w:rPr>
        <w:t>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Asignatura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Programación Orientada a Objetos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COM102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t>Licenciatura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t>Obligatoria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Academia</w:t>
            </w:r>
          </w:p>
        </w:tc>
        <w:tc>
          <w:tcPr>
            <w:tcW w:type="dxa" w:w="2160"/>
          </w:tcPr>
          <w:p>
            <w:r>
              <w:t>Computación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Horas con docente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Horas independientes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Horas totales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Créditos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>
      <w:pPr>
        <w:spacing w:before="160"/>
      </w:pPr>
      <w:r>
        <w:rPr>
          <w:b/>
          <w:color w:val="0F5446"/>
          <w:sz w:val="24"/>
        </w:rPr>
        <w:t>Objetivo de la asignatura</w:t>
      </w:r>
    </w:p>
    <w:p>
      <w:r>
        <w:t>Identificar y valorar los conceptos, beneficios y técnicas del paradigma de programación orientada a objetos para modelar y construir soluciones de software a problemas reales.</w:t>
      </w:r>
    </w:p>
    <w:p>
      <w:pPr>
        <w:spacing w:before="160"/>
      </w:pPr>
      <w:r>
        <w:rPr>
          <w:b/>
          <w:color w:val="0F5446"/>
          <w:sz w:val="24"/>
        </w:rPr>
        <w:t>Dónde se imparte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7A0F2D"/>
          </w:tcPr>
          <w:p>
            <w:r>
              <w:rPr>
                <w:b/>
                <w:color w:val="FFFFFF"/>
                <w:sz w:val="17"/>
              </w:rPr>
              <w:t>Carrera</w:t>
            </w:r>
          </w:p>
        </w:tc>
        <w:tc>
          <w:tcPr>
            <w:tcW w:type="dxa" w:w="2880"/>
            <w:shd w:val="clear" w:fill="7A0F2D"/>
          </w:tcPr>
          <w:p>
            <w:r>
              <w:rPr>
                <w:b/>
                <w:color w:val="FFFFFF"/>
                <w:sz w:val="17"/>
              </w:rPr>
              <w:t>Plan</w:t>
            </w:r>
          </w:p>
        </w:tc>
        <w:tc>
          <w:tcPr>
            <w:tcW w:type="dxa" w:w="2880"/>
            <w:shd w:val="clear" w:fill="7A0F2D"/>
          </w:tcPr>
          <w:p>
            <w:r>
              <w:rPr>
                <w:b/>
                <w:color w:val="FFFFFF"/>
                <w:sz w:val="17"/>
              </w:rPr>
              <w:t>Semestre</w:t>
            </w:r>
          </w:p>
        </w:tc>
      </w:tr>
      <w:tr>
        <w:tc>
          <w:tcPr>
            <w:tcW w:type="dxa" w:w="2880"/>
          </w:tcPr>
          <w:p>
            <w:r>
              <w:t>Ing. en Animación y Videojuegos</w:t>
            </w:r>
          </w:p>
        </w:tc>
        <w:tc>
          <w:tcPr>
            <w:tcW w:type="dxa" w:w="2880"/>
          </w:tcPr>
          <w:p>
            <w:r>
              <w:t>LIAVC17 (2017)</w:t>
            </w:r>
          </w:p>
        </w:tc>
        <w:tc>
          <w:tcPr>
            <w:tcW w:type="dxa" w:w="2880"/>
          </w:tcPr>
          <w:p>
            <w:r>
              <w:t>Sem 2</w:t>
            </w:r>
          </w:p>
        </w:tc>
      </w:tr>
      <w:tr>
        <w:tc>
          <w:tcPr>
            <w:tcW w:type="dxa" w:w="2880"/>
          </w:tcPr>
          <w:p>
            <w:r>
              <w:t>Ing. en Animación y Videojuegos</w:t>
            </w:r>
          </w:p>
        </w:tc>
        <w:tc>
          <w:tcPr>
            <w:tcW w:type="dxa" w:w="2880"/>
          </w:tcPr>
          <w:p>
            <w:r>
              <w:t>LIAVC23 (2023)</w:t>
            </w:r>
          </w:p>
        </w:tc>
        <w:tc>
          <w:tcPr>
            <w:tcW w:type="dxa" w:w="2880"/>
          </w:tcPr>
          <w:p>
            <w:r>
              <w:t>Sem 2</w:t>
            </w:r>
          </w:p>
        </w:tc>
      </w:tr>
      <w:tr>
        <w:tc>
          <w:tcPr>
            <w:tcW w:type="dxa" w:w="2880"/>
          </w:tcPr>
          <w:p>
            <w:r>
              <w:t>Ing. Industrial e Innovación Basada en Datos</w:t>
            </w:r>
          </w:p>
        </w:tc>
        <w:tc>
          <w:tcPr>
            <w:tcW w:type="dxa" w:w="2880"/>
          </w:tcPr>
          <w:p>
            <w:r>
              <w:t>LIBDC22 (2022)</w:t>
            </w:r>
          </w:p>
        </w:tc>
        <w:tc>
          <w:tcPr>
            <w:tcW w:type="dxa" w:w="2880"/>
          </w:tcPr>
          <w:p>
            <w:r>
              <w:t>Sem 2</w:t>
            </w:r>
          </w:p>
        </w:tc>
      </w:tr>
      <w:tr>
        <w:tc>
          <w:tcPr>
            <w:tcW w:type="dxa" w:w="2880"/>
          </w:tcPr>
          <w:p>
            <w:r>
              <w:t>Ing. en Inteligencia de Datos y Ciberseguridad</w:t>
            </w:r>
          </w:p>
        </w:tc>
        <w:tc>
          <w:tcPr>
            <w:tcW w:type="dxa" w:w="2880"/>
          </w:tcPr>
          <w:p>
            <w:r>
              <w:t>LIDCI21 (2021)</w:t>
            </w:r>
          </w:p>
        </w:tc>
        <w:tc>
          <w:tcPr>
            <w:tcW w:type="dxa" w:w="2880"/>
          </w:tcPr>
          <w:p>
            <w:r>
              <w:t>Sem 2</w:t>
            </w:r>
          </w:p>
        </w:tc>
      </w:tr>
      <w:tr>
        <w:tc>
          <w:tcPr>
            <w:tcW w:type="dxa" w:w="2880"/>
          </w:tcPr>
          <w:p>
            <w:r>
              <w:t>Ing. Industrial y Gestión de la Innovación</w:t>
            </w:r>
          </w:p>
        </w:tc>
        <w:tc>
          <w:tcPr>
            <w:tcW w:type="dxa" w:w="2880"/>
          </w:tcPr>
          <w:p>
            <w:r>
              <w:t>LIGIC17 (2017)</w:t>
            </w:r>
          </w:p>
        </w:tc>
        <w:tc>
          <w:tcPr>
            <w:tcW w:type="dxa" w:w="2880"/>
          </w:tcPr>
          <w:p>
            <w:r>
              <w:t>Sem 2</w:t>
            </w:r>
          </w:p>
        </w:tc>
      </w:tr>
      <w:tr>
        <w:tc>
          <w:tcPr>
            <w:tcW w:type="dxa" w:w="2880"/>
          </w:tcPr>
          <w:p>
            <w:r>
              <w:t>Ing. en Innovación y Diseño</w:t>
            </w:r>
          </w:p>
        </w:tc>
        <w:tc>
          <w:tcPr>
            <w:tcW w:type="dxa" w:w="2880"/>
          </w:tcPr>
          <w:p>
            <w:r>
              <w:t>LIIDC24 (2024)</w:t>
            </w:r>
          </w:p>
        </w:tc>
        <w:tc>
          <w:tcPr>
            <w:tcW w:type="dxa" w:w="2880"/>
          </w:tcPr>
          <w:p>
            <w:r>
              <w:t>Sem 5</w:t>
            </w:r>
          </w:p>
        </w:tc>
      </w:tr>
      <w:tr>
        <w:tc>
          <w:tcPr>
            <w:tcW w:type="dxa" w:w="2880"/>
          </w:tcPr>
          <w:p>
            <w:r>
              <w:t>Ing. Mecánica</w:t>
            </w:r>
          </w:p>
        </w:tc>
        <w:tc>
          <w:tcPr>
            <w:tcW w:type="dxa" w:w="2880"/>
          </w:tcPr>
          <w:p>
            <w:r>
              <w:t>LIMCC17 (2017)</w:t>
            </w:r>
          </w:p>
        </w:tc>
        <w:tc>
          <w:tcPr>
            <w:tcW w:type="dxa" w:w="2880"/>
          </w:tcPr>
          <w:p>
            <w:r>
              <w:t>Sem 2</w:t>
            </w:r>
          </w:p>
        </w:tc>
      </w:tr>
      <w:tr>
        <w:tc>
          <w:tcPr>
            <w:tcW w:type="dxa" w:w="2880"/>
          </w:tcPr>
          <w:p>
            <w:r>
              <w:t>Ing. Mecánica</w:t>
            </w:r>
          </w:p>
        </w:tc>
        <w:tc>
          <w:tcPr>
            <w:tcW w:type="dxa" w:w="2880"/>
          </w:tcPr>
          <w:p>
            <w:r>
              <w:t>LIMCC23 (2023)</w:t>
            </w:r>
          </w:p>
        </w:tc>
        <w:tc>
          <w:tcPr>
            <w:tcW w:type="dxa" w:w="2880"/>
          </w:tcPr>
          <w:p>
            <w:r>
              <w:t>Sem 2</w:t>
            </w:r>
          </w:p>
        </w:tc>
      </w:tr>
      <w:tr>
        <w:tc>
          <w:tcPr>
            <w:tcW w:type="dxa" w:w="2880"/>
          </w:tcPr>
          <w:p>
            <w:r>
              <w:t>Ing. Mecatrónica</w:t>
            </w:r>
          </w:p>
        </w:tc>
        <w:tc>
          <w:tcPr>
            <w:tcW w:type="dxa" w:w="2880"/>
          </w:tcPr>
          <w:p>
            <w:r>
              <w:t>LMECC17 (2017)</w:t>
            </w:r>
          </w:p>
        </w:tc>
        <w:tc>
          <w:tcPr>
            <w:tcW w:type="dxa" w:w="2880"/>
          </w:tcPr>
          <w:p>
            <w:r>
              <w:t>Sem 2</w:t>
            </w:r>
          </w:p>
        </w:tc>
      </w:tr>
      <w:tr>
        <w:tc>
          <w:tcPr>
            <w:tcW w:type="dxa" w:w="2880"/>
          </w:tcPr>
          <w:p>
            <w:r>
              <w:t>Ing. Mecatrónica</w:t>
            </w:r>
          </w:p>
        </w:tc>
        <w:tc>
          <w:tcPr>
            <w:tcW w:type="dxa" w:w="2880"/>
          </w:tcPr>
          <w:p>
            <w:r>
              <w:t>LMECC23 (2023)</w:t>
            </w:r>
          </w:p>
        </w:tc>
        <w:tc>
          <w:tcPr>
            <w:tcW w:type="dxa" w:w="2880"/>
          </w:tcPr>
          <w:p>
            <w:r>
              <w:t>Sem 2</w:t>
            </w:r>
          </w:p>
        </w:tc>
      </w:tr>
      <w:tr>
        <w:tc>
          <w:tcPr>
            <w:tcW w:type="dxa" w:w="2880"/>
          </w:tcPr>
          <w:p>
            <w:r>
              <w:t>Ing. en Tecnologías de la Información y Sistemas</w:t>
            </w:r>
          </w:p>
        </w:tc>
        <w:tc>
          <w:tcPr>
            <w:tcW w:type="dxa" w:w="2880"/>
          </w:tcPr>
          <w:p>
            <w:r>
              <w:t>LTISC17 (2017)</w:t>
            </w:r>
          </w:p>
        </w:tc>
        <w:tc>
          <w:tcPr>
            <w:tcW w:type="dxa" w:w="2880"/>
          </w:tcPr>
          <w:p>
            <w:r>
              <w:t>Sem 2</w:t>
            </w:r>
          </w:p>
        </w:tc>
      </w:tr>
    </w:tbl>
    <w:p>
      <w:pPr>
        <w:spacing w:before="160"/>
      </w:pPr>
      <w:r>
        <w:rPr>
          <w:b/>
          <w:color w:val="0F5446"/>
          <w:sz w:val="24"/>
        </w:rPr>
        <w:t>Resultados de aprendizaje institucionales (RAI) — transversales</w:t>
      </w:r>
    </w:p>
    <w:p>
      <w:pPr>
        <w:pStyle w:val="ListBullet"/>
      </w:pPr>
      <w:r>
        <w:t>RAI01: Los alumnos analizan la realidad actual con el fin de diagnosticar problemas socioeconómicos y culturales y proponer soluciones viables.</w:t>
      </w:r>
    </w:p>
    <w:p>
      <w:pPr>
        <w:pStyle w:val="ListBullet"/>
      </w:pPr>
      <w:r>
        <w:t>RAI02: Los alumnos argumentan propuestas y soluciones concretas a problemas reales con una base filosófica cristiana.</w:t>
      </w:r>
    </w:p>
    <w:p>
      <w:pPr>
        <w:pStyle w:val="ListBullet"/>
      </w:pPr>
      <w:r>
        <w:t>RAI03: Los alumnos cuentan con una sólida preparación académica que los prepara para el éxito en el ámbito laboral.</w:t>
      </w:r>
    </w:p>
    <w:p>
      <w:pPr>
        <w:pStyle w:val="ListBullet"/>
      </w:pPr>
      <w:r>
        <w:t>RAI04: Los alumnos contribuyen al bien común con una actitud de servicio hacia los demás.</w:t>
      </w:r>
    </w:p>
    <w:p>
      <w:pPr>
        <w:spacing w:before="160"/>
      </w:pPr>
      <w:r>
        <w:rPr>
          <w:b/>
          <w:color w:val="0F5446"/>
          <w:sz w:val="24"/>
        </w:rPr>
        <w:t>Resultados de aprendizaje del programa (RAP)</w:t>
      </w:r>
    </w:p>
    <w:p>
      <w:pPr>
        <w:pStyle w:val="ListBullet"/>
      </w:pPr>
      <w:r>
        <w:t>RAP01: Identifica, formula y resuelve problemas de ingeniería mediante la aplicación de principios de matemáticas, ciencia, pensamiento lógico y herramientas tecnológicas.</w:t>
      </w:r>
    </w:p>
    <w:p>
      <w:pPr>
        <w:pStyle w:val="ListBullet"/>
      </w:pPr>
      <w:r>
        <w:t>RAP02: Diseña soluciones de ingeniería que respondan a necesidades específicas, considerando criterios funcionales, técnicos, sociales, económicos y de factibilidad.</w:t>
      </w:r>
    </w:p>
    <w:p>
      <w:pPr>
        <w:pStyle w:val="ListBullet"/>
      </w:pPr>
      <w:r>
        <w:t>RAP03: Analiza la información y los datos relevantes para sustentar la toma de decisiones en contextos de ingeniería.</w:t>
      </w:r>
    </w:p>
    <w:p>
      <w:pPr>
        <w:pStyle w:val="ListBullet"/>
      </w:pPr>
      <w:r>
        <w:t>RAP04: Comunica de manera clara y efectiva ideas, procesos, modelos y resultados técnicos a distintas audiencias.</w:t>
      </w:r>
    </w:p>
    <w:p>
      <w:pPr>
        <w:pStyle w:val="ListBullet"/>
      </w:pPr>
      <w:r>
        <w:t>RAP05: Trabaja de forma efectiva en equipos multidisciplinarios, contribuyendo al logro de objetivos comunes mediante la colaboración, la organización y la responsabilidad compartida.</w:t>
      </w:r>
    </w:p>
    <w:p>
      <w:pPr>
        <w:pStyle w:val="ListBullet"/>
      </w:pPr>
      <w:r>
        <w:t>RAP06: Emplea procesos de experimentación, validación, análisis e interpretación de resultados para evaluar soluciones de ingeniería.</w:t>
      </w:r>
    </w:p>
    <w:p>
      <w:pPr>
        <w:pStyle w:val="ListBullet"/>
      </w:pPr>
      <w:r>
        <w:t>RAP07: Aprende de manera autónoma e incorpora nuevos conocimientos, métodos y herramientas para responder a los problemas emergentes de su disciplina.</w:t>
      </w:r>
    </w:p>
    <w:p>
      <w:pPr>
        <w:spacing w:before="160"/>
      </w:pPr>
      <w:r>
        <w:rPr>
          <w:b/>
          <w:color w:val="0F5446"/>
          <w:sz w:val="24"/>
        </w:rPr>
        <w:t>Resultados de aprendizaje de la asignatura (RAA)</w:t>
      </w:r>
    </w:p>
    <w:p>
      <w:pPr>
        <w:pStyle w:val="ListBullet"/>
      </w:pPr>
      <w:r>
        <w:t>RAA01: Examina los conceptos, elementos y características fundamentales de la programación orientada a objetos. — RAP01, RAP07</w:t>
      </w:r>
    </w:p>
    <w:p>
      <w:pPr>
        <w:pStyle w:val="ListBullet"/>
      </w:pPr>
      <w:r>
        <w:t>RAA02: Diseña soluciones computacionales utilizando el paradigma de la programación orientada a objetos. — RAP01, RAP02</w:t>
      </w:r>
    </w:p>
    <w:p>
      <w:pPr>
        <w:pStyle w:val="ListBullet"/>
      </w:pPr>
      <w:r>
        <w:t>RAA03: Implementa aplicaciones utilizando clases, objetos, atributos, métodos y mecanismos de encapsulamiento. — RAP01, RAP02, RAP06</w:t>
      </w:r>
    </w:p>
    <w:p>
      <w:pPr>
        <w:pStyle w:val="ListBullet"/>
      </w:pPr>
      <w:r>
        <w:t>RAA04: Aplica la herencia, el polimorfismo, la abstracción y las interfaces en la construcción de soluciones reutilizables y mantenibles. — RAP02, RAP06, RAP07</w:t>
      </w:r>
    </w:p>
    <w:p>
      <w:pPr>
        <w:pStyle w:val="ListBullet"/>
      </w:pPr>
      <w:r>
        <w:t>RAA05: Emplea funciones, colecciones, manejo de archivos, excepciones y otros recursos complementarios para la solución de problemas. — RAP01, RAP03, RAP06, RAP07</w:t>
      </w:r>
    </w:p>
    <w:p>
      <w:pPr>
        <w:pStyle w:val="ListBullet"/>
      </w:pPr>
      <w:r>
        <w:t>RAA06: Desarrolla aplicaciones con interfaz gráfica y acceso a datos para resolver problemas computacionales. — RAP01, RAP02, RAP03, RAP06</w:t>
      </w:r>
    </w:p>
    <w:p>
      <w:pPr>
        <w:pStyle w:val="ListBullet"/>
      </w:pPr>
      <w:r>
        <w:t>RAA07: Prueba, depura y evalúa soluciones orientadas a objetos de acuerdo con criterios de funcionalidad, organización y pertinencia. — RAP03, RAP06</w:t>
      </w:r>
    </w:p>
    <w:p>
      <w:pPr>
        <w:pStyle w:val="ListBullet"/>
      </w:pPr>
      <w:r>
        <w:t>RAA08: Comunica de manera clara el diseño, la implementación y los resultados de una solución desarrollada con programación orientada a objetos. — RAP04</w:t>
      </w:r>
    </w:p>
    <w:p>
      <w:pPr>
        <w:pStyle w:val="ListBullet"/>
      </w:pPr>
      <w:r>
        <w:t>RAA09: Colabora en la resolución estructurada de problemas mediante el desarrollo de proyectos de software. — RAP05</w:t>
      </w:r>
    </w:p>
    <w:p>
      <w:pPr>
        <w:spacing w:before="160"/>
      </w:pPr>
      <w:r>
        <w:rPr>
          <w:b/>
          <w:color w:val="0F5446"/>
          <w:sz w:val="24"/>
        </w:rPr>
        <w:t>Metodologías de aprendizaje</w:t>
      </w:r>
    </w:p>
    <w:p>
      <w:pPr>
        <w:pStyle w:val="ListBullet"/>
      </w:pPr>
      <w:r>
        <w:t>Aprendizaje basado en la práctica</w:t>
      </w:r>
    </w:p>
    <w:p>
      <w:pPr>
        <w:pStyle w:val="ListBullet"/>
      </w:pPr>
      <w:r>
        <w:t>Aprendizaje Basado en Problemas (ABP)</w:t>
      </w:r>
    </w:p>
    <w:p>
      <w:pPr>
        <w:pStyle w:val="ListBullet"/>
      </w:pPr>
      <w:r>
        <w:t>Resolución guiada de problemas</w:t>
      </w:r>
    </w:p>
    <w:p>
      <w:pPr>
        <w:pStyle w:val="ListBullet"/>
      </w:pPr>
      <w:r>
        <w:t>Trabajo autónomo supervisado</w:t>
      </w:r>
    </w:p>
    <w:p>
      <w:pPr>
        <w:pStyle w:val="ListBullet"/>
      </w:pPr>
      <w:r>
        <w:t>Aprendizaje basado en la investigación</w:t>
      </w:r>
    </w:p>
    <w:p>
      <w:pPr>
        <w:spacing w:before="160"/>
      </w:pPr>
      <w:r>
        <w:rPr>
          <w:b/>
          <w:color w:val="0F5446"/>
          <w:sz w:val="24"/>
        </w:rPr>
        <w:t>Agenda semanal (independiente de fechas)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Sem</w:t>
            </w:r>
          </w:p>
        </w:tc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Subtema / contenido</w:t>
            </w:r>
          </w:p>
        </w:tc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RAA</w:t>
            </w:r>
          </w:p>
        </w:tc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Introducción al curso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Encuadre, criterios de evaluación, metodología de trabajo y herramientas de apoyo.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Participación en clase. Evidencia diagnóstica inicial.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1. Introducción a la Programación Orientada a Objetos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1.1 Paradigmas de programación. 1.2 Concepto de POO. 1.3 Ventajas y aplicaciones del paradigma.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en Blackboard. Mapa comparativo de paradigmas.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2. Elementos básicos de la POO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2.1 Clase. 2.2 Objeto. 2.3 Atributos. 2.4 Métodos. 2.5 Propiedades.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RAA02, RAA03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Ejercicios de modelado. Presentación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2. Elementos básicos de la POO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2.6 Modificadores de acceso. 2.7 Funciones de acceso a propiedades. 2.8 Constructores. 2.9 Variables y métodos estáticos.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Programas entregados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2. Elementos básicos de la POO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2.10 Métodos sobrecargados. 2.11 Organización de clases. 2.12 Modelado básico orientado a objetos.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Programas entregados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3. Propiedades fundamentales de la POO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3.1 Encapsulamiento. 3.2 Ocultamiento de información. 3.3 Reutilización.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RAA03, RAA04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Programas entregados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3. Propiedades fundamentales de la POO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3.4 Herencia. 3.5 Jerarquía de clases. 3.6 Modificador de acceso protected.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RAA04,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Programas entregados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3. Propiedades fundamentales de la POO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3.7 Polimorfismo. 3.8 Métodos sobrescritos. 3.9 Clases y métodos abstractos. 3.10 Interfaces.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RAA04, RAA07, RAA08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Programas entregados en Blackboard. Primer parcial.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Funciones y estructuras avanzadas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4.1 Funciones avanzadas. 4.2 Modularidad. 4.3 Recursividad.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RAA05,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Programas entregados en Blackboard. Ejercicios resueltos.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Funciones y estructuras avanzadas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4.4 Colecciones. 4.5 Arreglos dinámicos. 4.6 Procesamiento de datos en memoria.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RAA05,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Programas entregados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Funciones y estructuras avanzadas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4.7 Manejo de excepciones. 4.8 Validación de errores. 4.9 Robustez del software.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RAA05, RAA07, RAA09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Programas entregados en Blackboard. Ejercicios resueltos.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5. Archivos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5.1 Archivos. 5.2 Procesamiento de archivos. 5.3 Archivos de texto.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RAA05,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Programas entregados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5. Archivos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5.4 Archivos binarios. 5.5 Acceso secuencial y aleatorio.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RAA05,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Programas entregados en Blackboard. Segundo parcial.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6. Interfaces gráficas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6.1 Interfaces gráficas. 6.2 GUI. 6.3 Formas. 6.4 Controles.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RAA06, RAA07, RAA08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Evidencia funcional de interfaz gráfica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6. Interfaces gráficas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6.5 Contenedores. 6.6 Integración de componentes. 6.7 Diseño de aplicaciones visuales.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RAA06, RAA07, RAA08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Programas entregados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7. Bases de datos y proyecto integrador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7.1 Bases de datos. 7.2 Acceso a bases de datos. 7.3 Consultas. 7.4 Integración de contenidos.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RAA02, RAA03, RAA04, RAA05, RAA06, RAA07, RAA08, RAA09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Proyecto final: código, documento escrito y presentación en clase.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Evaluación final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Examen final integrador.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RAA02, RAA03, RAA04, RAA05,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Examen final.</w:t>
            </w:r>
          </w:p>
        </w:tc>
      </w:tr>
    </w:tbl>
    <w:p>
      <w:pPr>
        <w:spacing w:before="160"/>
      </w:pPr>
      <w:r>
        <w:rPr>
          <w:b/>
          <w:color w:val="0F5446"/>
          <w:sz w:val="24"/>
        </w:rPr>
        <w:t>Evaluación del curso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Peso</w:t>
            </w:r>
          </w:p>
        </w:tc>
      </w:tr>
      <w:tr>
        <w:tc>
          <w:tcPr>
            <w:tcW w:type="dxa" w:w="2160"/>
          </w:tcPr>
          <w:p>
            <w:r>
              <w:t>Parcial 1</w:t>
            </w:r>
          </w:p>
        </w:tc>
        <w:tc>
          <w:tcPr>
            <w:tcW w:type="dxa" w:w="2160"/>
          </w:tcPr>
          <w:p>
            <w:r>
              <w:t>Unidades 1, 2 y 3</w:t>
            </w:r>
          </w:p>
        </w:tc>
        <w:tc>
          <w:tcPr>
            <w:tcW w:type="dxa" w:w="2160"/>
          </w:tcPr>
          <w:p>
            <w:r>
              <w:t>Semana 8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Parcial 2</w:t>
            </w:r>
          </w:p>
        </w:tc>
        <w:tc>
          <w:tcPr>
            <w:tcW w:type="dxa" w:w="2160"/>
          </w:tcPr>
          <w:p>
            <w:r>
              <w:t>Unidades 4 y 5</w:t>
            </w:r>
          </w:p>
        </w:tc>
        <w:tc>
          <w:tcPr>
            <w:tcW w:type="dxa" w:w="2160"/>
          </w:tcPr>
          <w:p>
            <w:r>
              <w:t>Semana 13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Aplicación integradora orientada a objetos con persistencia e interfaz gráfica.</w:t>
            </w:r>
          </w:p>
        </w:tc>
        <w:tc>
          <w:tcPr>
            <w:tcW w:type="dxa" w:w="2160"/>
          </w:tcPr>
          <w:p>
            <w:r>
              <w:t>Semana 16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Examen final</w:t>
            </w:r>
          </w:p>
        </w:tc>
        <w:tc>
          <w:tcPr>
            <w:tcW w:type="dxa" w:w="2160"/>
          </w:tcPr>
          <w:p>
            <w:r>
              <w:t>Todas las unidades del curso</w:t>
            </w:r>
          </w:p>
        </w:tc>
        <w:tc>
          <w:tcPr>
            <w:tcW w:type="dxa" w:w="2160"/>
          </w:tcPr>
          <w:p>
            <w:r>
              <w:t>Semana 17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Tareas</w:t>
            </w:r>
          </w:p>
        </w:tc>
        <w:tc>
          <w:tcPr>
            <w:tcW w:type="dxa" w:w="2160"/>
          </w:tcPr>
          <w:p>
            <w:r>
              <w:t>Actividades a realizar fuera de clase</w:t>
            </w:r>
          </w:p>
        </w:tc>
        <w:tc>
          <w:tcPr>
            <w:tcW w:type="dxa" w:w="2160"/>
          </w:tcPr>
          <w:p>
            <w:r>
              <w:t>Todo el curso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100%</w:t>
            </w:r>
          </w:p>
        </w:tc>
      </w:tr>
    </w:tbl>
    <w:p>
      <w:pPr>
        <w:spacing w:before="160"/>
      </w:pPr>
      <w:r>
        <w:rPr>
          <w:b/>
          <w:color w:val="0F5446"/>
          <w:sz w:val="24"/>
        </w:rPr>
        <w:t>Proyecto integrador</w:t>
      </w:r>
    </w:p>
    <w:p>
      <w:r>
        <w:t>Desarrollo de una aplicación que integre programación orientada a objetos, manejo de archivos y/o bases de datos e interfaz gráfica. El proyecto debe resolver un problema concreto y demostrar el uso adecuado de los conceptos del curso.</w:t>
      </w:r>
    </w:p>
    <w:p>
      <w:r>
        <w:t>Entrega: Proyecto completo, funcional y documentado — Semana 16.</w:t>
      </w:r>
    </w:p>
    <w:p>
      <w:r>
        <w:t>Modo: A través de Blackboard: código fuente completo + reporte en PDF. No se aceptan entregas por correo electrónico.</w:t>
      </w:r>
    </w:p>
    <w:p>
      <w:r>
        <w:t>Rúbrica: Código (70%): ejecución y funcionalidad (40%), aplicación correcta de POO y estructura (20%), buenas prácticas y organización (10%). Si el proyecto no se ejecuta, su calificación máxima es 30%. Reporte escrito (30%): narrativa y claridad (15%), decisiones de diseño y arquitectura (10%), evidencias bien integradas (5%).</w:t>
      </w:r>
    </w:p>
    <w:p>
      <w:pPr>
        <w:spacing w:before="160"/>
      </w:pPr>
      <w:r>
        <w:rPr>
          <w:b/>
          <w:color w:val="0F5446"/>
          <w:sz w:val="24"/>
        </w:rPr>
        <w:t>Tecnología recomendada (opcional)</w:t>
      </w:r>
    </w:p>
    <w:p>
      <w:r>
        <w:rPr>
          <w:i/>
        </w:rPr>
        <w:t xml:space="preserve">El syllabus es independiente de la tecnología. </w:t>
      </w:r>
      <w:r>
        <w:t xml:space="preserve">Referencia operativa de la academia: Python. El syllabus es independiente del lenguaje: describe conceptos y evidencias, no una tecnología. Como referencia operativa la academia sugiere Python por su sintaxis clara, su soporte nativo del paradigma orientado a objetos y su ecosistema educativo. Cualquier lenguaje con clases, herencia, polimorfismo, colecciones y manejo de archivos cumple los resultados de aprendizaje. </w:t>
      </w:r>
    </w:p>
    <w:p>
      <w:r>
        <w:t>Alternativas (previa autorización de la Jefatura de Cómputo): Java, C#, C++</w:t>
      </w:r>
    </w:p>
    <w:p>
      <w:pPr>
        <w:spacing w:before="160"/>
      </w:pPr>
      <w:r>
        <w:rPr>
          <w:b/>
          <w:color w:val="0F5446"/>
          <w:sz w:val="24"/>
        </w:rPr>
        <w:t>Fuentes de consulta · Bibliografía vigente</w:t>
      </w:r>
    </w:p>
    <w:p>
      <w:pPr>
        <w:pStyle w:val="ListBullet"/>
      </w:pPr>
      <w:r>
        <w:t>Matthes, E. (2023). Python Crash Course: A Hands-On, Project-Based Introduction to Programming (3rd ed.). No Starch Press.</w:t>
      </w:r>
    </w:p>
    <w:p>
      <w:pPr>
        <w:pStyle w:val="ListBullet"/>
      </w:pPr>
      <w:r>
        <w:t>Deitel, P. &amp; Deitel, H. (2019). Python for Programmers: With Introductory AI Case Studies. Pearson.</w:t>
      </w:r>
    </w:p>
    <w:p>
      <w:pPr>
        <w:spacing w:before="160"/>
      </w:pPr>
      <w:r>
        <w:rPr>
          <w:b/>
          <w:color w:val="0F5446"/>
          <w:sz w:val="24"/>
        </w:rPr>
        <w:t>Recursos electrónicos</w:t>
      </w:r>
    </w:p>
    <w:p>
      <w:pPr>
        <w:pStyle w:val="ListBullet"/>
      </w:pPr>
      <w:r>
        <w:t>Blackboard — https://blackboard.up.edu.mx/</w:t>
      </w:r>
    </w:p>
    <w:p>
      <w:pPr>
        <w:pStyle w:val="ListBullet"/>
      </w:pPr>
      <w:r>
        <w:t>Libros digitales · Biblioteca UP — https://biblioteca.up.edu.mx/recursos/libros-digitales/</w:t>
      </w:r>
    </w:p>
    <w:p>
      <w:pPr>
        <w:pStyle w:val="ListBullet"/>
      </w:pPr>
      <w:r>
        <w:t>GitHub Education + Copilot for Education — https://github.com/education</w:t>
      </w:r>
    </w:p>
    <w:p>
      <w:pPr>
        <w:pStyle w:val="ListBullet"/>
      </w:pPr>
      <w:r>
        <w:t>JetBrains Educational License — https://www.jetbrains.com/lp/edu-program-user-flow/</w:t>
      </w:r>
    </w:p>
    <w:p>
      <w:pPr>
        <w:pStyle w:val="ListBullet"/>
      </w:pPr>
      <w:r>
        <w:t>DataCamp Education — https://www.datacamp.com/universities</w:t>
      </w:r>
    </w:p>
    <w:p>
      <w:pPr>
        <w:pStyle w:val="ListBullet"/>
      </w:pPr>
      <w:r>
        <w:t>W3Schools — https://www.w3schools.com/</w:t>
      </w:r>
    </w:p>
    <w:p>
      <w:pPr>
        <w:spacing w:before="160"/>
      </w:pPr>
      <w:r>
        <w:rPr>
          <w:b/>
          <w:color w:val="0F5446"/>
          <w:sz w:val="24"/>
        </w:rPr>
        <w:t>Normatividad institucional</w:t>
      </w:r>
    </w:p>
    <w:p>
      <w:pPr>
        <w:pStyle w:val="ListBullet"/>
      </w:pPr>
      <w:r>
        <w:t>Reglamento General · UP (jul 2025) — https://www.up.edu.mx/wp-content/uploads/2025/03/Universidad-Panamericana-Reglamento-General-julio-2025.pdf</w:t>
      </w:r>
    </w:p>
    <w:p>
      <w:pPr>
        <w:pStyle w:val="ListBullet"/>
      </w:pPr>
      <w:r>
        <w:t>Reglamento de la Entidad Académica · Ingeniería — https://sites.google.com/up.edu.mx/wiki-ingeniera-cdmx/documentos</w:t>
      </w:r>
    </w:p>
    <w:p>
      <w:pPr>
        <w:pStyle w:val="ListBullet"/>
      </w:pPr>
      <w:r>
        <w:t>Lineamientos de uso de IA (CIIE) — https://ciie.up.edu.mx/ai4ed#lineamientos</w:t>
      </w:r>
    </w:p>
    <w:p>
      <w:pPr>
        <w:pStyle w:val="ListBullet"/>
      </w:pPr>
      <w:r>
        <w:t>Código de Honor — https://codigodehonor.up.edu.mx/</w:t>
      </w:r>
    </w:p>
    <w:p>
      <w:pPr>
        <w:spacing w:before="160"/>
      </w:pPr>
      <w:r>
        <w:rPr>
          <w:b/>
          <w:color w:val="0F5446"/>
          <w:sz w:val="24"/>
        </w:rPr>
        <w:t>Normativa del curso</w:t>
      </w:r>
    </w:p>
    <w:p>
      <w:r>
        <w:t xml:space="preserve">Estas son las reglas de operación del curso. La ponderación de la calificación es la de la tabla de evaluación de este mismo syllabus.</w:t>
      </w:r>
    </w:p>
    <w:p>
      <w:pPr>
        <w:spacing w:before="160"/>
      </w:pPr>
      <w:r>
        <w:rPr>
          <w:b/>
          <w:color w:val="0F5446"/>
          <w:sz w:val="22"/>
        </w:rPr>
        <w:t xml:space="preserve">Honestidad académica</w:t>
      </w:r>
    </w:p>
    <w:p>
      <w:pPr>
        <w:pStyle w:val="ListBullet"/>
      </w:pPr>
      <w:r>
        <w:t xml:space="preserve">No se permite ningún acto que atente contra la honestidad académica. Cada caso se informa al Consejo de la Facultad para su análisis y resolución.</w:t>
      </w:r>
    </w:p>
    <w:p>
      <w:pPr>
        <w:pStyle w:val="ListBullet"/>
      </w:pPr>
      <w:r>
        <w:t xml:space="preserve">Las tareas, los exámenes y los proyectos se revisan con detectores de plagio (Copyleaks y Turnitin). Un nivel de plagio superior al 30 % se califica con cero.</w:t>
      </w:r>
    </w:p>
    <w:p>
      <w:pPr>
        <w:pStyle w:val="ListBullet"/>
      </w:pPr>
      <w:r>
        <w:t xml:space="preserve">El documento tiene que llevar texto. Un archivo que solo contiene imágenes se califica con cero. Las imágenes se aceptan para código, ventanas de ejecución, diagramas y grafos.</w:t>
      </w:r>
    </w:p>
    <w:p>
      <w:pPr>
        <w:spacing w:before="160"/>
      </w:pPr>
      <w:r>
        <w:rPr>
          <w:b/>
          <w:color w:val="0F5446"/>
          <w:sz w:val="22"/>
        </w:rPr>
        <w:t xml:space="preserve">Dispositivos y uso de inteligencia artificial</w:t>
      </w:r>
    </w:p>
    <w:p>
      <w:pPr>
        <w:pStyle w:val="ListBullet"/>
      </w:pPr>
      <w:r>
        <w:t xml:space="preserve">En el salón no se permite el teléfono, los audífonos, los lentes con IA ni cualquier otro dispositivo que distraiga la atención. Permanecen guardados entre sus pertenencias.</w:t>
      </w:r>
    </w:p>
    <w:p>
      <w:pPr>
        <w:pStyle w:val="ListBullet"/>
      </w:pPr>
      <w:r>
        <w:t xml:space="preserve">Fuera de los exámenes puede apoyarse en herramientas de IA, con una condición: tiene que conocer y poder explicar lo que entrega. Leer el código en voz alta no cuenta como explicación. Si no lo sostiene, la entrega se califica con cero.</w:t>
      </w:r>
    </w:p>
    <w:p>
      <w:pPr>
        <w:spacing w:before="160"/>
      </w:pPr>
      <w:r>
        <w:rPr>
          <w:b/>
          <w:color w:val="0F5446"/>
          <w:sz w:val="22"/>
        </w:rPr>
        <w:t xml:space="preserve">Horario, asistencia y faltas</w:t>
      </w:r>
    </w:p>
    <w:p>
      <w:pPr>
        <w:pStyle w:val="ListBullet"/>
      </w:pPr>
      <w:r>
        <w:t xml:space="preserve">La sesión dura una hora y treinta minutos, y termina diez minutos antes de la hora marcada.</w:t>
      </w:r>
    </w:p>
    <w:p>
      <w:pPr>
        <w:pStyle w:val="ListBullet"/>
      </w:pPr>
      <w:r>
        <w:t xml:space="preserve">Asistencia: se registra dentro de los primeros cinco minutos de iniciada la sesión.</w:t>
      </w:r>
    </w:p>
    <w:p>
      <w:pPr>
        <w:pStyle w:val="ListBullet"/>
      </w:pPr>
      <w:r>
        <w:t xml:space="preserve">Retardo: del minuto cinco al quince. Dos retardos equivalen a una falta. El retardo se solicita a más tardar al terminar esa misma clase; después se registra como falta.</w:t>
      </w:r>
    </w:p>
    <w:p>
      <w:pPr>
        <w:pStyle w:val="ListBullet"/>
      </w:pPr>
      <w:r>
        <w:t xml:space="preserve">Inasistencia: a partir del minuto dieciséis no se permite el acceso al aula y se registra falta.</w:t>
      </w:r>
    </w:p>
    <w:p>
      <w:pPr>
        <w:spacing w:before="160"/>
      </w:pPr>
      <w:r>
        <w:rPr>
          <w:b/>
          <w:color w:val="0F5446"/>
          <w:sz w:val="22"/>
        </w:rPr>
        <w:t xml:space="preserve">Entregas</w:t>
      </w:r>
    </w:p>
    <w:p>
      <w:pPr>
        <w:pStyle w:val="ListBullet"/>
      </w:pPr>
      <w:r>
        <w:t xml:space="preserve">Blackboard es el único canal de entrega. Lo que llegue por correo no se califica.</w:t>
      </w:r>
    </w:p>
    <w:p>
      <w:pPr>
        <w:pStyle w:val="ListBullet"/>
      </w:pPr>
      <w:r>
        <w:t xml:space="preserve">Los trabajos en equipo los sube un solo integrante, en un archivo comprimido nombrado como el equipo, por ejemplo Equipo1.zip.</w:t>
      </w:r>
    </w:p>
    <w:p>
      <w:pPr>
        <w:pStyle w:val="ListBullet"/>
      </w:pPr>
      <w:r>
        <w:t xml:space="preserve">Los documentos se entregan en formato .pdf o .docx.</w:t>
      </w:r>
    </w:p>
    <w:p>
      <w:pPr>
        <w:pStyle w:val="ListBullet"/>
      </w:pPr>
      <w:r>
        <w:t xml:space="preserve">Antes de comprimir, elimine los archivos ejecutables: el antivirus bloquea el archivo y la entrega se pierde.</w:t>
      </w:r>
    </w:p>
    <w:p>
      <w:pPr>
        <w:pStyle w:val="ListBullet"/>
      </w:pPr>
      <w:r>
        <w:t xml:space="preserve">Solo se aceptan las entregas subidas en la fecha establecida y que cumplan estos lineamientos. Las tareas y los quizzes no tienen reposición.</w:t>
      </w:r>
    </w:p>
    <w:p>
      <w:pPr>
        <w:spacing w:before="160"/>
      </w:pPr>
      <w:r>
        <w:rPr>
          <w:b/>
          <w:color w:val="0F5446"/>
          <w:sz w:val="22"/>
        </w:rPr>
        <w:t xml:space="preserve">Exámenes</w:t>
      </w:r>
    </w:p>
    <w:p>
      <w:pPr>
        <w:pStyle w:val="ListBullet"/>
      </w:pPr>
      <w:r>
        <w:t xml:space="preserve">Se resuelven en las computadoras del salón. Puede llevar una memoria USB con el material que quiera.</w:t>
      </w:r>
    </w:p>
    <w:p>
      <w:pPr>
        <w:pStyle w:val="ListBullet"/>
      </w:pPr>
      <w:r>
        <w:t xml:space="preserve">Puede consultar sus apuntes, las tareas entregadas, la web, los libros del curso y el material que haya generado con IA antes del examen.</w:t>
      </w:r>
    </w:p>
    <w:p>
      <w:pPr>
        <w:pStyle w:val="ListBullet"/>
      </w:pPr>
      <w:r>
        <w:t xml:space="preserve">Durante el examen puede acceder a la web, pero no a ningún medio de comunicación como correo o mensajería. El acceso sirve únicamente para subir su respuesta a Blackboard.</w:t>
      </w:r>
    </w:p>
    <w:p>
      <w:pPr>
        <w:pStyle w:val="ListBullet"/>
      </w:pPr>
      <w:r>
        <w:t xml:space="preserve">La respuesta se sube comprimida, con su nombre completo como nombre del archivo, por ejemplo PedroPerezGonzalez.zip.</w:t>
      </w:r>
    </w:p>
    <w:p>
      <w:pPr>
        <w:pStyle w:val="ListBullet"/>
      </w:pPr>
      <w:r>
        <w:t xml:space="preserve">Sin teléfono, audífonos ni lentes con IA. Se colocan al frente del salón antes de comenzar.</w:t>
      </w:r>
    </w:p>
    <w:p>
      <w:pPr>
        <w:pStyle w:val="ListBullet"/>
      </w:pPr>
      <w:r>
        <w:t xml:space="preserve">El profesor puede pedirle que discuta sus algoritmos y respuestas de forma verbal. Ahí tiene que argumentar y justificar; leer lo que escribió no es un argumento válido.</w:t>
      </w:r>
    </w:p>
    <w:p>
      <w:pPr>
        <w:spacing w:before="160"/>
      </w:pPr>
      <w:r>
        <w:rPr>
          <w:b/>
          <w:color w:val="0F5446"/>
          <w:sz w:val="22"/>
        </w:rPr>
        <w:t xml:space="preserve">Proyecto</w:t>
      </w:r>
    </w:p>
    <w:p>
      <w:pPr>
        <w:pStyle w:val="ListBullet"/>
      </w:pPr>
      <w:r>
        <w:t xml:space="preserve">La evaluación del proyecto es individual, aunque el trabajo se haga en equipo. Cada integrante tiene que conocer y poder explicar la solución completa.</w:t>
      </w:r>
    </w:p>
    <w:p>
      <w:pPr>
        <w:spacing w:before="160"/>
      </w:pPr>
      <w:r>
        <w:rPr>
          <w:b/>
          <w:color w:val="0F5446"/>
          <w:sz w:val="22"/>
        </w:rPr>
        <w:t xml:space="preserve">Casos no previstos</w:t>
      </w:r>
    </w:p>
    <w:p>
      <w:pPr>
        <w:pStyle w:val="ListBullet"/>
      </w:pPr>
      <w:r>
        <w:t xml:space="preserve">Cualquier aspecto que no contemple este documento se resuelve con la participación de la Jefatura del Área de Computación o la Dirección de Carrera. En ese análisis se privilegia al alumno, con estricto respeto a la justicia, la equidad y la honestidad académica.</w:t>
      </w:r>
    </w:p>
    <w:p>
      <w:pPr>
        <w:spacing w:before="160"/>
      </w:pPr>
      <w:r>
        <w:rPr>
          <w:b/>
          <w:color w:val="0F5446"/>
          <w:sz w:val="24"/>
        </w:rPr>
        <w:t>Recursos para apoyo académico</w:t>
      </w:r>
    </w:p>
    <w:p>
      <w:pPr>
        <w:pStyle w:val="ListBullet"/>
      </w:pPr>
      <w:r>
        <w:t>Smart Center — Acompañamiento en preparación de exámenes y trabajos</w:t>
      </w:r>
    </w:p>
    <w:p>
      <w:pPr>
        <w:pStyle w:val="ListBullet"/>
      </w:pPr>
      <w:r>
        <w:t>Asuntos Estudiantiles · Ingeniería — mx_ingeup@up.edu.mx</w:t>
      </w:r>
    </w:p>
    <w:p>
      <w:pPr>
        <w:pStyle w:val="ListBullet"/>
      </w:pPr>
      <w:r>
        <w:t>Wiki Ingeniería CDMX — Información general de la Facultad</w:t>
      </w:r>
    </w:p>
    <w:p>
      <w:pPr>
        <w:pStyle w:val="ListBullet"/>
      </w:pPr>
      <w:r>
        <w:t>Portal CMC · alumnos — Información general para alumnos</w:t>
      </w:r>
    </w:p>
    <w:p>
      <w:r>
        <w:rPr>
          <w:color w:val="777777"/>
          <w:sz w:val="17"/>
        </w:rPr>
        <w:t>Syllabus vigente 2026 · Academia de Cómputo · documento independiente de fechas.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