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微软雅黑" w:hAnsi="微软雅黑" w:eastAsia="微软雅黑"/>
          <w:b/>
          <w:color w:val="666E7A"/>
          <w:sz w:val="20"/>
        </w:rPr>
        <w:t>创客训练营 · “创客竞赛作品结题评审”单元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34"/>
        </w:rPr>
        <w:t>作品演示测试表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sz w:val="21"/>
        </w:rPr>
        <w:t>1班C组 · 仿真跑不队　|　磁吸焊接辅助手电 —— 一吸即用、指哪照哪的焊接照明工具　|　2026 年 10 月 22 日</w:t>
      </w: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一、作品基本信息与演示方式确认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82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团队 / 作品名称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1班C组 · 仿真跑不队　/　磁吸焊接辅助手电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成员与角色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邵子中（负责人，经济模型/固件/材料）：演示主讲与数据说明；李昊桐（结构/实测）：实物操作与安全测试说明；姜亚楷（渠道/财务）：答辩与测试表递交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作品开发阶段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准成品：核心功能闭环完整（磁吸固定—万向悬停—无级调光—状态指示—过温保护），已完成 22 台小批量试制与 B 端交付、8 小时连续工况复测（2 台）与同批 20 台一致性抽检；量产工艺与长周期使用数据按下方第五节迭代计划推进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演示方式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实物演示（非 MVP 替代演示）。现场演示时间 5 分钟内；无需《MVP 阶段演示替代说明》，迭代规划见本表第五节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核心价值主张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给焊接者一双腾出来的手：磁吸固定解放双手、万向悬停指哪照哪、无级调光适配光环境，百元内可得（主线 65 元）</w:t>
            </w:r>
          </w:p>
        </w:tc>
      </w:tr>
    </w:tbl>
    <w:p>
      <w:pPr>
        <w:spacing w:before="0" w:after="20"/>
      </w:pPr>
    </w:p>
    <w:p>
      <w:pPr>
        <w:spacing w:before="0" w:after="60"/>
      </w:pPr>
      <w:r>
        <w:rPr>
          <w:rFonts w:ascii="微软雅黑" w:hAnsi="微软雅黑" w:eastAsia="微软雅黑"/>
          <w:b w:val="0"/>
          <w:color w:val="666E7A"/>
          <w:sz w:val="17"/>
        </w:rPr>
        <w:t>本作品当前阶段说明：核心功能闭环已完成（磁吸—悬停—调光—状态—安全保护全链路可用，且已完成 22 台小批量试制与交付），属“准成品”阶段；量产工艺（注塑模具）与长周期使用数据按结题后迭代计划推进（阶段一至阶段三）。因此本次按成品团队进行实物演示，不需要提交《MVP 阶段演示替代说明》；但仍附迭代规划以满足评审对后续路径的关注。</w:t>
      </w: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二、演示内容与流程（8 步 / ≤5 分钟，可复现）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环节（时长）</w:t>
            </w:r>
          </w:p>
        </w:tc>
        <w:tc>
          <w:tcPr>
            <w:tcW w:type="dxa" w:w="78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操作说明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开场（30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说明演示目标：验证“磁吸固定 + 万向悬停 + 无级调光”三项核心价值与安全底线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磁吸固定（40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把样机吸附到铁质焊台面，用弹簧秤现场测吸附力（目标 ≥2.5kg），并轻敲焊台演示不位移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万向悬停与瞄准（60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弯折柔臂把光斑对准 0603 焊盘，展示“指哪照哪”；随机改变角度后光斑仍能 5 秒内复位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无级调光与无频闪（40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滑动调光展示 1%–100% 平滑变化；评委用手机镜头对准灯面验证无频闪条纹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焊检两用（50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整机取下作手电，近距离照射已焊好的 0603 焊点，展示检查场景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安全与温升（40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 8 小时连续工况测试记录表（49℃）与 NTC 过温提示触发演示（热风枪模拟过热）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数据与结论（40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展示任务完成率 50%→78%、意向金支付率 37.3%、B 端 22 台交付三项结果证据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收尾（20 秒）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说明当前阶段（准成品）与迭代路线，交付纸质测试表</w:t>
            </w:r>
          </w:p>
        </w:tc>
      </w:tr>
    </w:tbl>
    <w:p>
      <w:pPr>
        <w:spacing w:before="0" w:after="20"/>
      </w:pPr>
    </w:p>
    <w:p>
      <w:pPr>
        <w:spacing w:before="0" w:after="60"/>
      </w:pPr>
      <w:r>
        <w:rPr>
          <w:rFonts w:ascii="微软雅黑" w:hAnsi="微软雅黑" w:eastAsia="微软雅黑"/>
          <w:b w:val="0"/>
          <w:color w:val="666E7A"/>
          <w:sz w:val="17"/>
        </w:rPr>
        <w:t>备选方案：现场若环境配置超过 30 分钟或演示超时超过 5 分钟，改播 3 分 40 秒的演示录屏（含吸附力实测、无频闪验证、8 小时温升曲线三段关键画面），现场只保留吸附与调光两个动手环节。录屏已存于团队 U 盘与云端各一份。</w:t>
      </w: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三、演示测试数据记录表（现场逐项记录）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判定标准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测量方法（可复现）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实测值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吸附力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≥2.5kg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弹簧秤实测（3 次取均值）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3.2kg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光斑对位时间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≤5 秒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秒表计时（5 次取均值）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 秒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照度（20cm）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≥700 lux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手机照度计 App（3 次取均值）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780 lux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光斑直径（20cm）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≤8cm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卷尺测量光斑边界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6.0cm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可视频闪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无条纹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 1/4000s 快门拍摄灯面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无可见条纹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连续工况温升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≤60℃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热电偶贴灯板，8 小时连续记录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49℃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状态查询耗时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≤5 秒/次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可用性测试计时（13 人次）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4.2 秒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电池续航（强光档）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≥4 小时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满电连续点亮计时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小时 26 分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>
      <w:pPr>
        <w:spacing w:before="0" w:after="20"/>
      </w:pPr>
    </w:p>
    <w:p>
      <w:pPr>
        <w:spacing w:before="0" w:after="60"/>
      </w:pPr>
      <w:r>
        <w:rPr>
          <w:rFonts w:ascii="微软雅黑" w:hAnsi="微软雅黑" w:eastAsia="微软雅黑"/>
          <w:b w:val="0"/>
          <w:color w:val="666E7A"/>
          <w:sz w:val="17"/>
        </w:rPr>
        <w:t>数据可追溯说明：吸附力与光斑数据来自结题阶段实物实测（2026-10-19/20，弹簧秤 3 次取均值、卷尺与秒表各 5 次）；温升来自 8 小时连续工况连续记录表（E-07，16 个记录点）；状态查询耗时来自可用性测试 13 人次的现场观察记录（E-08）；续航来自满电连续点亮计时测试。以上原始记录随报告附录提交，现场可提供原件核对。</w:t>
      </w: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四、测试条件与环境说明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82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演示环境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评委席前展示台（金属台面或磁性底板），环境光按常规教室照明；若演示台非金属材质，团队自带铁质底板（30×20cm）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所需配置时间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10 分钟（含设备就位、铁板固定、样机充电状态确认），低于 30 分钟门槛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安全措施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低压供电（18650 + Type-C，DW01 过充过放保护）；NTC 过温提示演示使用热风枪模拟，由李昊桐持握并保持 20cm 安全距离；桌面上不放置易燃物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演示备用件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V4.0 整机 2 台（1 台演示、1 台备用）+ V2.0 样机 1 台（对比用）；备用电池 2 节；弹簧秤/量角器/热电偶各 1 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不可控风险与对策</w:t>
            </w:r>
          </w:p>
        </w:tc>
        <w:tc>
          <w:tcPr>
            <w:tcW w:type="dxa" w:w="82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若现场演示台无法固定或用例失败：立即切换备用机；若两台均失败，改播 3 分 40 秒演示录屏并现场做吸附力与调光两项动手环节</w:t>
            </w:r>
          </w:p>
        </w:tc>
      </w:tr>
    </w:tbl>
    <w:p>
      <w:pPr>
        <w:spacing w:before="0" w:after="20"/>
      </w:pP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五、迭代规划（从当前阶段到完整量产原型）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核心验证目标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关键里程碑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预期完成时间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阶段一（结题后 1 个月）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长周期使用可靠性：22 台交付样机回收 30 天使用日志，验证失效模式与温升稳定性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回收 ≥25 份使用日志；任务完成率 ≥85%（“3 步开工卡”随首单发货后）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2026-11-20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阶段二（结题后 3 个月）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量产工艺可行性：注塑外壳与双色注塑磁吸垫的小批量良率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 台试产良率 ≥95%；单位变动成本 ≤¥40（物流集包协议落地）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2027-01-20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阶段三（结题后 6–12 个月）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规模与商业化闭环：B 端实训课采买放量至保本销量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累计销量 ≥1,232 台（量产定价保本点）；B 端占比 ≥45%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2027-06-30</w:t>
            </w:r>
          </w:p>
        </w:tc>
      </w:tr>
    </w:tbl>
    <w:p>
      <w:pPr>
        <w:spacing w:before="0" w:after="20"/>
      </w:pPr>
    </w:p>
    <w:p>
      <w:pPr>
        <w:spacing w:before="160" w:after="100"/>
        <w:pBdr>
          <w:bottom w:val="single" w:sz="10" w:space="3" w:color="2C5AA0"/>
        </w:pBdr>
      </w:pPr>
      <w:r>
        <w:rPr>
          <w:rFonts w:ascii="微软雅黑" w:hAnsi="微软雅黑" w:eastAsia="微软雅黑"/>
          <w:b/>
          <w:sz w:val="27"/>
        </w:rPr>
        <w:t>六、团队签字与评委记录区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97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团队确认</w:t>
            </w:r>
          </w:p>
        </w:tc>
        <w:tc>
          <w:tcPr>
            <w:tcW w:type="dxa" w:w="510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邵子中：______　　李昊桐：______　　姜亚楷：______　　日期：2026 年 10 月 22 日</w:t>
            </w:r>
          </w:p>
        </w:tc>
      </w:tr>
      <w:tr>
        <w:tc>
          <w:tcPr>
            <w:tcW w:type="dxa" w:w="997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现场演示记录</w:t>
            </w:r>
          </w:p>
        </w:tc>
        <w:tc>
          <w:tcPr>
            <w:tcW w:type="dxa" w:w="51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评委意见：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8"/>
              </w:rPr>
              <w:t>签字：________________　　日期：____________</w:t>
            </w:r>
          </w:p>
        </w:tc>
      </w:tr>
    </w:tbl>
    <w:p>
      <w:pPr>
        <w:spacing w:before="0" w:after="2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