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Брачный договор</w:t>
      </w:r>
    </w:p>
    <w:p>
      <w:r>
        <w:t>ПРОЕКТ ДЛЯ НОТАРИУСА. Документ не удостоверен и не заменяет нотариальное оформление.</w:t>
      </w:r>
    </w:p>
    <w:p>
      <w:r>
        <w:t>Место: [Место составления]. Дата: [Дата документа].</w:t>
      </w:r>
    </w:p>
    <w:p>
      <w:r>
        <w:t xml:space="preserve">Первая сторона: [Первый супруг или будущий супруг]. </w:t>
      </w:r>
    </w:p>
    <w:p>
      <w:r>
        <w:t xml:space="preserve">Вторая сторона: [Второй супруг или будущий супруг]. </w:t>
      </w:r>
    </w:p>
    <w:p>
      <w:r>
        <w:t>Сведения о браке: [Сведения о браке или предстоящем браке].</w:t>
      </w:r>
    </w:p>
    <w:p>
      <w:pPr>
        <w:pStyle w:val="Heading1"/>
      </w:pPr>
      <w:r>
        <w:t>Имущественные условия</w:t>
      </w:r>
    </w:p>
    <w:p>
      <w:r>
        <w:t>Имущество до заключения договора: [Имущество каждого до договора].</w:t>
      </w:r>
    </w:p>
    <w:p>
      <w:r>
        <w:t>Режим имущества: [Согласованный режим имущества]. Отдельные объекты и права: [Объекты и права каждого].</w:t>
      </w:r>
    </w:p>
    <w:p>
      <w:r>
        <w:t>Расходы и содержание: [Семейные расходы и содержание].</w:t>
      </w:r>
    </w:p>
    <w:p>
      <w:r>
        <w:t>Обязательства: [Долги и обязательства перед кредиторами]. Стороны уведомляют кредиторов о заключении, изменении и расторжении договора в предусмотренных законом случаях.</w:t>
      </w:r>
    </w:p>
    <w:p>
      <w:r>
        <w:t>При расторжении брака: [Имущество при расторжении брака].</w:t>
      </w:r>
    </w:p>
    <w:p>
      <w:pPr>
        <w:pStyle w:val="Heading1"/>
      </w:pPr>
      <w:r>
        <w:t>Действие договора</w:t>
      </w:r>
    </w:p>
    <w:p>
      <w:r>
        <w:t>Договор подлежит нотариальному удостоверению. Если он заключён до регистрации брака, вступает в силу со дня государственной регистрации брака. Изменение и расторжение по соглашению сторон оформляются нотариально.</w:t>
      </w:r>
    </w:p>
    <w:p>
      <w:r>
        <w:t>Договор не регулирует личные неимущественные отношения, права и обязанности в отношении детей и не ограничивает правоспособность, дееспособность или право на обращение в суд. Императивные ограничения Семейного кодекса РФ сохраняются.</w:t>
      </w:r>
    </w:p>
    <w:p>
      <w:r>
        <w:t>Дополнительные условия: [Дополнительные имущественные условия].</w:t>
      </w:r>
    </w:p>
    <w:p>
      <w:pPr>
        <w:pStyle w:val="Heading1"/>
      </w:pPr>
      <w:r>
        <w:t>Реквизиты и подписи</w:t>
      </w:r>
    </w:p>
    <w:p>
      <w:r>
        <w:t>Первая сторона: [Первый супруг или будущий супруг]. [Реквизиты первой стороны].</w:t>
      </w:r>
    </w:p>
    <w:p>
      <w:r>
        <w:t>Подпись ____________________</w:t>
      </w:r>
    </w:p>
    <w:p>
      <w:r>
        <w:t>Вторая сторона: [Второй супруг или будущий супруг].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Брачный договор</dc:title>
  <dc:subject>Проект имущественных условий для нотариуса. Не регулирует личные отношения и вопросы о детях; не может ограничивать право на суд или ставить супруга в крайне неблагоприятное положение. Бот не оценивает баланс интересов.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