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Соглашение о конфиденциальности</w:t>
      </w:r>
    </w:p>
    <w:p>
      <w:r>
        <w:t>Место: [Место составления]. Дата: [Дата документа].</w:t>
      </w:r>
    </w:p>
    <w:p>
      <w:r>
        <w:t>Первая сторона: [Первая сторона]. Подписант и основание полномочий: [Подписант первой стороны и полномочия].</w:t>
      </w:r>
    </w:p>
    <w:p>
      <w:r>
        <w:t>Вторая сторона: [Вторая сторона]. Подписант и основание полномочий: [Подписант второй стороны и полномочия].</w:t>
      </w:r>
    </w:p>
    <w:p>
      <w:pPr>
        <w:pStyle w:val="Heading1"/>
      </w:pPr>
      <w:r>
        <w:t>Информация и цель</w:t>
      </w:r>
    </w:p>
    <w:p>
      <w:r>
        <w:t>Каждая сторона может выступать передающей или получающей. Защищаемая информация: [Состав защищаемой информации]. Цель использования: [Разрешённая цель использования].</w:t>
      </w:r>
    </w:p>
    <w:p>
      <w:r>
        <w:t>Обозначение и передача: [Способ обозначения и передачи]. Не относятся к защищаемой сведения, законно общедоступные, ранее известные получателю или независимо разработанные им без использования полученной информации.</w:t>
      </w:r>
    </w:p>
    <w:p>
      <w:pPr>
        <w:pStyle w:val="Heading1"/>
      </w:pPr>
      <w:r>
        <w:t>Защита и раскрытие</w:t>
      </w:r>
    </w:p>
    <w:p>
      <w:r>
        <w:t>Доступ и меры: [Лица с доступом и меры защиты]. Передача третьим лицам требует письменного согласия раскрывающей стороны, кроме обязательного раскрытия по закону компетентному органу.</w:t>
      </w:r>
    </w:p>
    <w:p>
      <w:r>
        <w:t>Срок обязательств: [Срок обязательств]. Возврат и уничтожение: [Возврат или уничтожение]. Уведомления: [Адреса уведомлений и порядок сообщения об утечке].</w:t>
      </w:r>
    </w:p>
    <w:p>
      <w:r>
        <w:t>Получатель использует информацию только для согласованной цели. Нарушившая сторона возмещает доказанные убытки по закону; фиксированный штраф автоматически не устанавливается.</w:t>
      </w:r>
    </w:p>
    <w:p>
      <w:r>
        <w:t>Соглашение не передаёт исключительные права. Режим коммерческой тайны требует предусмотренных законом мер; обработка персональных данных требует самостоятельного законного основания.</w:t>
      </w:r>
    </w:p>
    <w:p>
      <w:pPr>
        <w:pStyle w:val="Heading1"/>
      </w:pPr>
      <w:r>
        <w:t>Реквизиты и подписи</w:t>
      </w:r>
    </w:p>
    <w:p>
      <w:r>
        <w:t>Первая сторона: [Первая сторона]. [Реквизиты первой стороны].</w:t>
      </w:r>
    </w:p>
    <w:p>
      <w:r>
        <w:t>Подпись ____________________</w:t>
      </w:r>
    </w:p>
    <w:p>
      <w:r>
        <w:t>Вторая сторона: [Вторая сторона]. [Реквизиты второй стороны].</w:t>
      </w:r>
    </w:p>
    <w:p>
      <w:r>
        <w:t>Подпись ____________________</w:t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 w:line="250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Соглашение о конфиденциальности</dc:title>
  <dc:subject>Двустороннее соглашение об обмене определённой конфиденциальной информацией. Само по себе не вводит режим коммерческой тайны и не заменяет основание обработки персональных данных.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