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Соглашение об уплате алиментов</w:t>
      </w:r>
    </w:p>
    <w:p>
      <w:pPr>
        <w:widowControl/>
        <w:spacing w:after="160"/>
      </w:pPr>
      <w:r>
        <w:rPr>
          <w:i/>
          <w:sz w:val="19"/>
          <w:color w:val="000000"/>
        </w:rPr>
        <w:t>ПРОЕКТ ДЛЯ НОТАРИУСА. Документ не удостоверен и не заменяет нотариальное оформление.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ПЛАТЕЛЬЩИК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ПОЛУЧАТЕЛЬ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[Плательщик алиментов]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[Получатель как законный представитель ребёнка]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Указанные стороны заключили настоящее соглашение о нижеследующем.</w:t>
      </w:r>
    </w:p>
    <w:p>
      <w:pPr>
        <w:widowControl/>
      </w:pPr>
      <w:r>
        <w:rPr>
          <w:color w:val="000000"/>
        </w:rPr>
        <w:t>Ребёнок: [ФИО дата рождения и документ ребёнка]. Основание представительства получателя: [Основание представительства получателя].</w:t>
      </w:r>
    </w:p>
    <w:p>
      <w:pPr>
        <w:pStyle w:val="Heading1"/>
        <w:widowControl/>
      </w:pPr>
      <w:r>
        <w:rPr>
          <w:color w:val="000000"/>
        </w:rPr>
        <w:t>1. Размер и порядок выплаты</w:t>
      </w:r>
    </w:p>
    <w:p>
      <w:pPr>
        <w:widowControl/>
      </w:pPr>
      <w:r>
        <w:rPr>
          <w:color w:val="000000"/>
        </w:rPr>
        <w:t>1.1. Плательщик обязуется уплачивать алименты на содержание указанного ребёнка.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Сведения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Согласованные данные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Размер и периодичность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[Размер способ определения и периодичность]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Сроки и способ перечисления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[Сроки способ и реквизиты выплаты]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Начало и срок выплат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[Начало и срок выплат]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Индексация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[Порядок индексации]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1.2. Стороны представляют нотариусу сведения, позволяющие проверить соблюдение интересов ребёнка и минимального размера алиментов по статье 103 СК РФ.</w:t>
      </w:r>
    </w:p>
    <w:p>
      <w:pPr>
        <w:pStyle w:val="Heading1"/>
        <w:widowControl/>
      </w:pPr>
      <w:r>
        <w:rPr>
          <w:color w:val="000000"/>
        </w:rPr>
        <w:t>2. Действие соглашения</w:t>
      </w:r>
    </w:p>
    <w:p>
      <w:pPr>
        <w:widowControl/>
      </w:pPr>
      <w:r>
        <w:rPr>
          <w:color w:val="000000"/>
        </w:rPr>
        <w:t>2.1. Соглашение подлежит нотариальному удостоверению. Изменение и расторжение по соглашению сторон совершаются в той же форме; односторонний отказ не допускается.</w:t>
      </w:r>
    </w:p>
    <w:p>
      <w:pPr>
        <w:widowControl/>
      </w:pPr>
      <w:r>
        <w:rPr>
          <w:color w:val="000000"/>
        </w:rPr>
        <w:t>2.2. Обязательства прекращаются по основаниям закона и согласованным условиям, не нарушающим права ребёнка. Подписание проекта не подтверждает получение алиментов.</w:t>
      </w:r>
    </w:p>
    <w:p>
      <w:pPr>
        <w:widowControl/>
      </w:pPr>
      <w:r>
        <w:rPr>
          <w:color w:val="000000"/>
        </w:rPr>
        <w:t>2.3. Дополнительные условия: [Дополнительные согласованные условия].</w:t>
      </w:r>
    </w:p>
    <w:p>
      <w:pPr>
        <w:pStyle w:val="Heading1"/>
        <w:widowControl/>
      </w:pPr>
      <w:r>
        <w:rPr>
          <w:color w:val="000000"/>
        </w:rPr>
        <w:t>3.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ПЛАТЕЛЬЩИК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ПОЛУЧАТЕЛЬ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[Плательщик алиментов]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[Получатель как законный представитель ребёнка]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первой стороны]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второй стороны]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Соглашение об уплате алиментов</dc:title>
  <dc:subject>Проект для нотариуса об алиментах на несовершеннолетнего ребёнка. Размер не может быть ниже того, что ребёнок мог бы получить через суд. Бот не проверяет доходы сторон и соблюдение этого минимума.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