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Брачный договор</w:t>
      </w:r>
    </w:p>
    <w:p>
      <w:pPr>
        <w:widowControl/>
        <w:spacing w:after="160"/>
      </w:pPr>
      <w:r>
        <w:rPr>
          <w:i/>
          <w:sz w:val="19"/>
          <w:color w:val="000000"/>
        </w:rPr>
        <w:t>ПРОЕКТ ДЛЯ НОТАРИУСА. Документ не удостоверен и не заменяет нотариальное оформление.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ПЕРВЫЙ СУПРУГ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ВТОРОЙ СУПРУГ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[Первый супруг или будущий супруг]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[Второй супруг или будущий супруг]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widowControl/>
      </w:pPr>
      <w:r>
        <w:rPr>
          <w:color w:val="000000"/>
        </w:rPr>
        <w:t>Сведения о браке: [Сведения о браке или предстоящем браке].</w:t>
      </w:r>
    </w:p>
    <w:p>
      <w:pPr>
        <w:pStyle w:val="Heading1"/>
        <w:widowControl/>
      </w:pPr>
      <w:r>
        <w:rPr>
          <w:color w:val="000000"/>
        </w:rPr>
        <w:t>1. Состав и режим имущества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Имущество до договора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[Имущество каждого до договора]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Режим имущества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[Согласованный режим имущества]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Отдельные объекты и права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[Объекты и права каждого]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2. Расходы и обязательства</w:t>
      </w:r>
    </w:p>
    <w:p>
      <w:pPr>
        <w:widowControl/>
      </w:pPr>
      <w:r>
        <w:rPr>
          <w:color w:val="000000"/>
        </w:rPr>
        <w:t>2.1. Расходы и содержание: [Семейные расходы и содержание].</w:t>
      </w:r>
    </w:p>
    <w:p>
      <w:pPr>
        <w:widowControl/>
      </w:pPr>
      <w:r>
        <w:rPr>
          <w:color w:val="000000"/>
        </w:rPr>
        <w:t>2.2. Обязательства: [Долги и обязательства перед кредиторами]. Стороны уведомляют кредиторов о заключении, изменении и расторжении договора в предусмотренных законом случаях.</w:t>
      </w:r>
    </w:p>
    <w:p>
      <w:pPr>
        <w:widowControl/>
      </w:pPr>
      <w:r>
        <w:rPr>
          <w:color w:val="000000"/>
        </w:rPr>
        <w:t>2.3. При расторжении брака: [Имущество при расторжении брака].</w:t>
      </w:r>
    </w:p>
    <w:p>
      <w:pPr>
        <w:pStyle w:val="Heading1"/>
        <w:widowControl/>
      </w:pPr>
      <w:r>
        <w:rPr>
          <w:color w:val="000000"/>
        </w:rPr>
        <w:t>3. Действие и изменение договора</w:t>
      </w:r>
    </w:p>
    <w:p>
      <w:pPr>
        <w:widowControl/>
      </w:pPr>
      <w:r>
        <w:rPr>
          <w:color w:val="000000"/>
        </w:rPr>
        <w:t>3.1. Договор подлежит нотариальному удостоверению. Если он заключён до регистрации брака, вступает в силу со дня государственной регистрации брака. Изменение и расторжение по соглашению сторон оформляются нотариально.</w:t>
      </w:r>
    </w:p>
    <w:p>
      <w:pPr>
        <w:widowControl/>
      </w:pPr>
      <w:r>
        <w:rPr>
          <w:color w:val="000000"/>
        </w:rPr>
        <w:t>3.2. Договор не регулирует личные неимущественные отношения, права и обязанности в отношении детей и не ограничивает правоспособность, дееспособность или право на обращение в суд. Императивные ограничения Семейного кодекса РФ сохраняются.</w:t>
      </w:r>
    </w:p>
    <w:p>
      <w:pPr>
        <w:widowControl/>
      </w:pPr>
      <w:r>
        <w:rPr>
          <w:color w:val="000000"/>
        </w:rPr>
        <w:t>3.3. Дополнительные условия: [Дополнительные имущественные условия].</w:t>
      </w:r>
    </w:p>
    <w:p>
      <w:pPr>
        <w:pStyle w:val="Heading1"/>
        <w:widowControl/>
      </w:pPr>
      <w:r>
        <w:rPr>
          <w:color w:val="000000"/>
        </w:rPr>
        <w:t>4.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ПЕРВЫЙ СУПРУГ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ВТОРОЙ СУПРУГ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[Первый супруг или будущий супруг]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[Второй супруг или будущий супруг]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Брачный договор</dc:title>
  <dc:subject>Проект имущественных условий для нотариуса. Не регулирует личные отношения и вопросы о детях; не может ограничивать право на суд или ставить супруга в крайне неблагоприятное положение. Бот не оценивает баланс интересов.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