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Соглашение о конфиденциальности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ПЕРВАЯ СТОРОНА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ВТОРАЯ СТОРОНА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[Первая сторона]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[Вторая сторона]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первой стороны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второй стороны и полномочия]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настоящее соглашение о нижеследующем.</w:t>
      </w:r>
    </w:p>
    <w:p>
      <w:pPr>
        <w:pStyle w:val="Heading1"/>
        <w:widowControl/>
      </w:pPr>
      <w:r>
        <w:rPr>
          <w:color w:val="000000"/>
        </w:rPr>
        <w:t>1. Информация и цель использования</w:t>
      </w:r>
    </w:p>
    <w:p>
      <w:pPr>
        <w:widowControl/>
      </w:pPr>
      <w:r>
        <w:rPr>
          <w:color w:val="000000"/>
        </w:rPr>
        <w:t>1.1. Каждая сторона может выступать передающей или получающей информацию.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Защищаемая информация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[Состав защищаемой информации]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Разрешённая цель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[Разрешённая цель использования]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Обозначение и передача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[Способ обозначения и передачи]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1.2. Не относятся к защищаемой сведения, законно общедоступные, ранее известные получателю или независимо разработанные им без использования полученной информации.</w:t>
      </w:r>
    </w:p>
    <w:p>
      <w:pPr>
        <w:pStyle w:val="Heading1"/>
        <w:widowControl/>
      </w:pPr>
      <w:r>
        <w:rPr>
          <w:color w:val="000000"/>
        </w:rPr>
        <w:t>2. Доступ и раскрытие</w:t>
      </w:r>
    </w:p>
    <w:p>
      <w:pPr>
        <w:widowControl/>
      </w:pPr>
      <w:r>
        <w:rPr>
          <w:color w:val="000000"/>
        </w:rPr>
        <w:t>2.1. Доступ и меры: [Лица с доступом и меры защиты]. Передача третьим лицам требует письменного согласия раскрывающей стороны, кроме обязательного раскрытия по закону компетентному органу.</w:t>
      </w:r>
    </w:p>
    <w:p>
      <w:pPr>
        <w:pStyle w:val="Heading1"/>
        <w:widowControl/>
      </w:pPr>
      <w:r>
        <w:rPr>
          <w:color w:val="000000"/>
        </w:rPr>
        <w:t>3. Срок и прекращение доступа</w:t>
      </w:r>
    </w:p>
    <w:p>
      <w:pPr>
        <w:widowControl/>
      </w:pPr>
      <w:r>
        <w:rPr>
          <w:color w:val="000000"/>
        </w:rPr>
        <w:t>3.1. Срок обязательств: [Срок обязательств]. Возврат и уничтожение: [Возврат или уничтожение]. Уведомления: [Адреса уведомлений и порядок сообщения об утечке].</w:t>
      </w:r>
    </w:p>
    <w:p>
      <w:pPr>
        <w:pStyle w:val="Heading1"/>
        <w:widowControl/>
      </w:pPr>
      <w:r>
        <w:rPr>
          <w:color w:val="000000"/>
        </w:rPr>
        <w:t>4. Ответственность и пределы соглашения</w:t>
      </w:r>
    </w:p>
    <w:p>
      <w:pPr>
        <w:widowControl/>
      </w:pPr>
      <w:r>
        <w:rPr>
          <w:color w:val="000000"/>
        </w:rPr>
        <w:t>4.1. Получатель использует информацию только для согласованной цели. Нарушившая сторона возмещает доказанные убытки в установленном законом порядке.</w:t>
      </w:r>
    </w:p>
    <w:p>
      <w:pPr>
        <w:widowControl/>
      </w:pPr>
      <w:r>
        <w:rPr>
          <w:color w:val="000000"/>
        </w:rPr>
        <w:t>4.2. Соглашение не передаёт исключительные права. Режим коммерческой тайны требует предусмотренных законом мер; обработка персональных данных требует самостоятельного законного основания.</w:t>
      </w:r>
    </w:p>
    <w:p>
      <w:pPr>
        <w:pStyle w:val="Heading1"/>
        <w:widowControl/>
      </w:pPr>
      <w:r>
        <w:rPr>
          <w:color w:val="000000"/>
        </w:rPr>
        <w:t>5.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ПЕРВАЯ СТОРОНА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ВТОРАЯ СТОРОНА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[Первая сторона]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[Вторая сторона]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конфиденциальности</dc:title>
  <dc:subject>Двустороннее соглашение об обмене определённой конфиденциальной информацией. Само по себе не вводит режим коммерческой тайны и не заменяет основание обработки персональных данных.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