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</w:pPr>
      <w:r>
        <w:rPr>
          <w:color w:val="000000"/>
        </w:rPr>
        <w:t>Отправитель: [Отправитель и реквизиты]</w:t>
      </w:r>
    </w:p>
    <w:p>
      <w:pPr>
        <w:widowControl/>
        <w:ind w:left="4649"/>
      </w:pPr>
      <w:r>
        <w:rPr>
          <w:color w:val="000000"/>
        </w:rPr>
        <w:t>Получатель: [Получатель]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p>
      <w:pPr>
        <w:pStyle w:val="Title"/>
        <w:widowControl/>
        <w:jc w:val="center"/>
      </w:pPr>
      <w:r>
        <w:rPr>
          <w:color w:val="000000"/>
        </w:rPr>
        <w:t>КОММЕРЧЕСКОЕ ПРЕДЛОЖЕНИЕ</w:t>
      </w:r>
    </w:p>
    <w:p>
      <w:pPr>
        <w:widowControl/>
      </w:pPr>
      <w:r>
        <w:rPr>
          <w:b/>
          <w:color w:val="000000"/>
        </w:rPr>
        <w:t>[Что предлагается].</w:t>
      </w:r>
    </w:p>
    <w:p>
      <w:pPr>
        <w:pStyle w:val="Heading1"/>
        <w:widowControl/>
      </w:pPr>
      <w:r>
        <w:rPr>
          <w:color w:val="000000"/>
        </w:rPr>
        <w:t>Состав предложения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Сведения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Предлагаемые условия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Состав и объём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[Состав и объём предложения]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Результат и приёмка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[Результат и критерии приёмки]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Стоимость и налоги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[Стоимость валюта и налоги]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Порядок оплаты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[Порядок оплаты]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Сроки выполнения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[Сроки выполнения]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Срок актуальности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[Срок актуальности предложения]</w:t>
            </w:r>
          </w:p>
        </w:tc>
      </w:tr>
    </w:tbl>
    <w:p>
      <w:pPr>
        <w:pStyle w:val="Heading1"/>
        <w:widowControl/>
      </w:pPr>
      <w:r>
        <w:rPr>
          <w:color w:val="000000"/>
        </w:rPr>
        <w:t>Опыт и особенности работы</w:t>
      </w:r>
    </w:p>
    <w:p>
      <w:pPr>
        <w:widowControl/>
      </w:pPr>
      <w:r>
        <w:rPr>
          <w:color w:val="000000"/>
        </w:rPr>
        <w:t>[Подтверждённый опыт и преимущества].</w:t>
      </w:r>
    </w:p>
    <w:p>
      <w:pPr>
        <w:pStyle w:val="Heading1"/>
        <w:widowControl/>
      </w:pPr>
      <w:r>
        <w:rPr>
          <w:color w:val="000000"/>
        </w:rPr>
        <w:t>Контакт и следующий шаг</w:t>
      </w:r>
    </w:p>
    <w:p>
      <w:pPr>
        <w:widowControl/>
      </w:pPr>
      <w:r>
        <w:rPr>
          <w:color w:val="000000"/>
        </w:rPr>
        <w:t>[Контакт и следующий шаг].</w:t>
      </w:r>
    </w:p>
    <w:p>
      <w:pPr>
        <w:widowControl/>
      </w:pPr>
      <w:r>
        <w:rPr>
          <w:color w:val="000000"/>
        </w:rPr>
        <w:t>Предложение предназначено для обсуждения. Окончательные обязательства сторон закрепляются отдельным договором.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</dc:title>
  <dc:subject>Деловое предложение для согласования условий будущего договора. Факты о компании, преимущества, цены и сроки берутся только из данных пользователя; вымышленные отзывы и гарантии не добавляются.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